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京珠国道主干线绕广州公路东环段（东二环）龙头山隧道老旧改设施更换工程LED诱导标采购意向征集公告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  <w:t>项目</w:t>
      </w: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1.1项目名称：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val="en-US" w:eastAsia="zh-CN"/>
        </w:rPr>
        <w:t>京珠国道主干线绕广州公路东环段（东二环）龙头山隧道老旧改设施更换工程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1.2项目地点：广州珠江黄埔大桥管理中心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  <w:snapToGrid w:val="0"/>
          <w:color w:val="auto"/>
          <w:kern w:val="0"/>
          <w:sz w:val="24"/>
          <w:lang w:eastAsia="zh-CN"/>
        </w:rPr>
        <w:t>具体工程量清单</w:t>
      </w:r>
    </w:p>
    <w:tbl>
      <w:tblPr>
        <w:tblStyle w:val="5"/>
        <w:tblW w:w="5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852"/>
        <w:gridCol w:w="935"/>
        <w:gridCol w:w="1122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材料/设备名称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数量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LED诱导标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清单说明：</w:t>
      </w:r>
    </w:p>
    <w:p>
      <w:pPr>
        <w:numPr>
          <w:ilvl w:val="0"/>
          <w:numId w:val="2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包括运输、</w:t>
      </w: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eastAsia="zh-CN"/>
        </w:rPr>
        <w:t>指导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安装费、保险费、税费、试运行及缺陷的维护等一切费用；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质保期：两年；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最高限价：</w:t>
      </w: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40000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.00元。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eastAsia" w:cs="Times New Roman"/>
          <w:b/>
          <w:snapToGrid w:val="0"/>
          <w:color w:val="auto"/>
          <w:kern w:val="0"/>
          <w:sz w:val="24"/>
          <w:lang w:val="en-US" w:eastAsia="zh-CN"/>
        </w:rPr>
        <w:t>技术要求</w:t>
      </w:r>
    </w:p>
    <w:p>
      <w:pPr>
        <w:spacing w:beforeLines="0" w:afterLines="0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插拔式安装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诱导标额定输入电压：</w:t>
      </w:r>
      <w:r>
        <w:rPr>
          <w:rFonts w:hint="default" w:ascii="Times New Roman" w:hAnsi="Times New Roman" w:eastAsia="Times New Roman"/>
          <w:sz w:val="24"/>
          <w:szCs w:val="24"/>
        </w:rPr>
        <w:t>24V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亮度调节：白天为高亮显示，夜间亮度自动。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显示模式：具有跑马灯效果，闪烁模式和常亮模式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诱导标额定功率：</w:t>
      </w:r>
      <w:r>
        <w:rPr>
          <w:rFonts w:hint="default" w:ascii="Times New Roman" w:hAnsi="Times New Roman" w:eastAsia="Times New Roman"/>
          <w:sz w:val="24"/>
          <w:szCs w:val="24"/>
        </w:rPr>
        <w:t>1W</w:t>
      </w:r>
      <w:r>
        <w:rPr>
          <w:rFonts w:hint="eastAsia" w:ascii="宋体" w:hAnsi="宋体" w:eastAsia="宋体"/>
          <w:sz w:val="24"/>
          <w:szCs w:val="24"/>
        </w:rPr>
        <w:t>（双面显示）</w:t>
      </w:r>
      <w:r>
        <w:rPr>
          <w:rFonts w:hint="default" w:ascii="Times New Roman" w:hAnsi="Times New Roman" w:eastAsia="Times New Roman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</w:rPr>
        <w:t>且</w:t>
      </w:r>
      <w:r>
        <w:rPr>
          <w:rFonts w:hint="default" w:ascii="Times New Roman" w:hAnsi="Times New Roman" w:eastAsia="Times New Roman"/>
          <w:sz w:val="24"/>
          <w:szCs w:val="24"/>
        </w:rPr>
        <w:t xml:space="preserve">LED </w:t>
      </w:r>
      <w:r>
        <w:rPr>
          <w:rFonts w:hint="eastAsia" w:ascii="宋体" w:hAnsi="宋体" w:eastAsia="宋体"/>
          <w:sz w:val="24"/>
          <w:szCs w:val="24"/>
        </w:rPr>
        <w:t>数量单面不少于</w:t>
      </w:r>
      <w:r>
        <w:rPr>
          <w:rFonts w:hint="default" w:ascii="Times New Roman" w:hAnsi="Times New Roman" w:eastAsia="Times New Roman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个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诱导标外壳材料：压铸铝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诱导标发光颜色：白、色红色，黄色可任意组合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诱导标模块安装：不锈钢螺丝和尼龙膨管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光源：单面</w:t>
      </w:r>
      <w:r>
        <w:rPr>
          <w:rFonts w:hint="default" w:ascii="Times New Roman" w:hAnsi="Times New Roman" w:eastAsia="Times New Roman"/>
          <w:sz w:val="24"/>
          <w:szCs w:val="24"/>
        </w:rPr>
        <w:t xml:space="preserve">6 </w:t>
      </w:r>
      <w:r>
        <w:rPr>
          <w:rFonts w:hint="eastAsia" w:ascii="宋体" w:hAnsi="宋体" w:eastAsia="宋体"/>
          <w:sz w:val="24"/>
          <w:szCs w:val="24"/>
        </w:rPr>
        <w:t>个</w:t>
      </w:r>
      <w:r>
        <w:rPr>
          <w:rFonts w:hint="default" w:ascii="Times New Roman" w:hAnsi="Times New Roman" w:eastAsia="Times New Roman"/>
          <w:sz w:val="24"/>
          <w:szCs w:val="24"/>
        </w:rPr>
        <w:t>LED/</w:t>
      </w:r>
      <w:r>
        <w:rPr>
          <w:rFonts w:hint="eastAsia" w:ascii="宋体" w:hAnsi="宋体" w:eastAsia="宋体"/>
          <w:sz w:val="24"/>
          <w:szCs w:val="24"/>
        </w:rPr>
        <w:t>双面共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12 </w:t>
      </w:r>
      <w:r>
        <w:rPr>
          <w:rFonts w:hint="eastAsia" w:ascii="宋体" w:hAnsi="宋体" w:eastAsia="宋体"/>
          <w:sz w:val="24"/>
          <w:szCs w:val="24"/>
        </w:rPr>
        <w:t>颗。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/>
          <w:sz w:val="24"/>
          <w:szCs w:val="24"/>
        </w:rPr>
        <w:t>诱导标使用寿命：</w:t>
      </w:r>
      <w:r>
        <w:rPr>
          <w:rFonts w:hint="default" w:ascii="Times New Roman" w:hAnsi="Times New Roman" w:eastAsia="Times New Roman"/>
          <w:sz w:val="24"/>
          <w:szCs w:val="24"/>
        </w:rPr>
        <w:t>100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default" w:ascii="Times New Roman" w:hAnsi="Times New Roman" w:eastAsia="Times New Roman"/>
          <w:sz w:val="24"/>
          <w:szCs w:val="24"/>
        </w:rPr>
        <w:t xml:space="preserve">000 </w:t>
      </w:r>
      <w:r>
        <w:rPr>
          <w:rFonts w:hint="eastAsia" w:ascii="宋体" w:hAnsi="宋体" w:eastAsia="宋体"/>
          <w:sz w:val="24"/>
          <w:szCs w:val="24"/>
        </w:rPr>
        <w:t>小时</w:t>
      </w:r>
    </w:p>
    <w:p>
      <w:pPr>
        <w:pStyle w:val="3"/>
        <w:tabs>
          <w:tab w:val="left" w:pos="8280"/>
        </w:tabs>
        <w:jc w:val="left"/>
        <w:outlineLvl w:val="0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Wingdings" w:hAnsi="Wingdings" w:eastAsia="Wingdings"/>
          <w:sz w:val="24"/>
          <w:szCs w:val="24"/>
        </w:rPr>
        <w:t xml:space="preserve">Ø </w:t>
      </w:r>
      <w:r>
        <w:rPr>
          <w:rFonts w:hint="eastAsia" w:ascii="宋体" w:hAnsi="宋体" w:eastAsia="宋体" w:cstheme="minorBidi"/>
          <w:b w:val="0"/>
          <w:kern w:val="2"/>
          <w:sz w:val="24"/>
          <w:szCs w:val="24"/>
          <w:lang w:val="en-US" w:eastAsia="zh-CN" w:bidi="ar-SA"/>
        </w:rPr>
        <w:t>防护等</w:t>
      </w:r>
      <w:r>
        <w:rPr>
          <w:rFonts w:hint="default" w:ascii="Times New Roman" w:hAnsi="Times New Roman" w:eastAsia="宋体" w:cs="Times New Roman"/>
          <w:b w:val="0"/>
          <w:kern w:val="2"/>
          <w:sz w:val="24"/>
          <w:szCs w:val="24"/>
          <w:lang w:val="en-US" w:eastAsia="zh-CN" w:bidi="ar-SA"/>
        </w:rPr>
        <w:t>级：IP67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供应商资格条件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信用信誉良好，所供设备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符合</w:t>
      </w:r>
      <w:bookmarkStart w:id="3" w:name="_GoBack"/>
      <w:bookmarkEnd w:id="3"/>
      <w:r>
        <w:rPr>
          <w:rFonts w:hint="default" w:ascii="Times New Roman" w:hAnsi="Times New Roman" w:cs="Times New Roman"/>
          <w:color w:val="auto"/>
          <w:sz w:val="24"/>
          <w:lang w:eastAsia="zh-CN"/>
        </w:rPr>
        <w:t>本工程量清单设备技术要求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凡有意参加本次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采购且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具备履行本项目能力的</w:t>
      </w:r>
      <w:r>
        <w:rPr>
          <w:rFonts w:hint="default" w:ascii="Times New Roman" w:hAnsi="Times New Roman" w:cs="Times New Roman"/>
          <w:color w:val="auto"/>
          <w:sz w:val="24"/>
        </w:rPr>
        <w:t>供应商，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请</w:t>
      </w:r>
      <w:r>
        <w:rPr>
          <w:rFonts w:hint="default" w:ascii="Times New Roman" w:hAnsi="Times New Roman" w:cs="Times New Roman"/>
          <w:color w:val="000000"/>
          <w:sz w:val="24"/>
        </w:rPr>
        <w:t>将附于本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公告</w:t>
      </w:r>
      <w:r>
        <w:rPr>
          <w:rFonts w:hint="default" w:ascii="Times New Roman" w:hAnsi="Times New Roman" w:cs="Times New Roman"/>
          <w:color w:val="000000"/>
          <w:sz w:val="24"/>
        </w:rPr>
        <w:t>后的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000000"/>
          <w:sz w:val="24"/>
        </w:rPr>
        <w:t>回执在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2022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年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月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2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日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16：00</w:t>
      </w:r>
      <w:r>
        <w:rPr>
          <w:rFonts w:hint="default" w:ascii="Times New Roman" w:hAnsi="Times New Roman" w:cs="Times New Roman"/>
          <w:color w:val="000000"/>
          <w:sz w:val="24"/>
        </w:rPr>
        <w:t>之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前</w:t>
      </w:r>
      <w:r>
        <w:rPr>
          <w:rFonts w:hint="default" w:ascii="Times New Roman" w:hAnsi="Times New Roman" w:cs="Times New Roman"/>
          <w:color w:val="000000"/>
          <w:sz w:val="24"/>
        </w:rPr>
        <w:t>发送至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人邮箱：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1204355776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@qq.com，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逾期无效。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人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收到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回执后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根据供应商信用信誉等情况进行讨论提议，按优先选取本公司库内供应商原则开展后续采购活动，不再另行发布采购公告。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bookmarkStart w:id="0" w:name="_Toc332965960"/>
      <w:bookmarkStart w:id="1" w:name="_Toc332793818"/>
      <w:bookmarkStart w:id="2" w:name="_Toc332793891"/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采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购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人：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人地址：广州市番禺区洛浦街道北环路87号道路研究院二号楼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联  系  人：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刘工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电      话：020-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39185740</w:t>
      </w:r>
    </w:p>
    <w:p>
      <w:pPr>
        <w:topLinePunct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                                             20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年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</w:rPr>
        <w:t>月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YwYjZjYWZmZmQxZjk0MGVkZjNjMjcxOTA3ZjgifQ=="/>
  </w:docVars>
  <w:rsids>
    <w:rsidRoot w:val="00172A27"/>
    <w:rsid w:val="0A69025B"/>
    <w:rsid w:val="0DA26991"/>
    <w:rsid w:val="112A7044"/>
    <w:rsid w:val="12ED5CBA"/>
    <w:rsid w:val="20205D7D"/>
    <w:rsid w:val="22E907A2"/>
    <w:rsid w:val="298B6066"/>
    <w:rsid w:val="2E0860D1"/>
    <w:rsid w:val="2ECB5FE2"/>
    <w:rsid w:val="34DB5F68"/>
    <w:rsid w:val="3C047712"/>
    <w:rsid w:val="3E8C010F"/>
    <w:rsid w:val="3EFD65C9"/>
    <w:rsid w:val="4044389B"/>
    <w:rsid w:val="42100EF9"/>
    <w:rsid w:val="48AD79E8"/>
    <w:rsid w:val="49DC5C4D"/>
    <w:rsid w:val="515756D7"/>
    <w:rsid w:val="52871060"/>
    <w:rsid w:val="57BF2D4E"/>
    <w:rsid w:val="58B74CBC"/>
    <w:rsid w:val="5E8E770E"/>
    <w:rsid w:val="623B7383"/>
    <w:rsid w:val="63166D1A"/>
    <w:rsid w:val="65922BE0"/>
    <w:rsid w:val="69824F5F"/>
    <w:rsid w:val="6AC87D14"/>
    <w:rsid w:val="6C094604"/>
    <w:rsid w:val="71313FAA"/>
    <w:rsid w:val="79E2018B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4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592</Characters>
  <Lines>0</Lines>
  <Paragraphs>0</Paragraphs>
  <TotalTime>0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LYK</cp:lastModifiedBy>
  <cp:lastPrinted>2022-10-20T06:50:00Z</cp:lastPrinted>
  <dcterms:modified xsi:type="dcterms:W3CDTF">2022-11-22T03:14:14Z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B75484C30A0D48A998196F431A9A3E69</vt:lpwstr>
  </property>
</Properties>
</file>