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1"/>
        <w:rPr>
          <w:rFonts w:eastAsia="仿宋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  <w:lang w:eastAsia="zh-CN"/>
        </w:rPr>
        <w:t>广州市从化至黄埔高速公路一期工程机电工程（SG09合同段）</w:t>
      </w:r>
      <w:r>
        <w:rPr>
          <w:rFonts w:hint="eastAsia" w:eastAsia="仿宋_GB2312" w:cs="Times New Roman"/>
          <w:b/>
          <w:color w:val="000000"/>
          <w:sz w:val="32"/>
          <w:szCs w:val="32"/>
          <w:lang w:val="en-US" w:eastAsia="zh-CN"/>
        </w:rPr>
        <w:t>金属线槽、抱箍</w:t>
      </w:r>
      <w:r>
        <w:rPr>
          <w:rFonts w:eastAsia="仿宋_GB2312"/>
          <w:b/>
          <w:color w:val="000000"/>
          <w:sz w:val="32"/>
          <w:szCs w:val="32"/>
        </w:rPr>
        <w:t>采购意向征集公告</w:t>
      </w:r>
    </w:p>
    <w:p>
      <w:pPr>
        <w:spacing w:line="360" w:lineRule="auto"/>
        <w:jc w:val="center"/>
        <w:outlineLvl w:val="1"/>
        <w:rPr>
          <w:sz w:val="24"/>
        </w:rPr>
      </w:pPr>
    </w:p>
    <w:p>
      <w:pPr>
        <w:numPr>
          <w:ilvl w:val="0"/>
          <w:numId w:val="3"/>
        </w:numPr>
        <w:topLinePunct/>
        <w:spacing w:line="360" w:lineRule="auto"/>
        <w:outlineLvl w:val="1"/>
        <w:rPr>
          <w:b/>
          <w:snapToGrid w:val="0"/>
          <w:kern w:val="0"/>
          <w:sz w:val="24"/>
        </w:rPr>
      </w:pPr>
      <w:r>
        <w:rPr>
          <w:b/>
          <w:snapToGrid w:val="0"/>
          <w:kern w:val="0"/>
          <w:sz w:val="24"/>
        </w:rPr>
        <w:t>项目概况</w:t>
      </w:r>
    </w:p>
    <w:p>
      <w:pPr>
        <w:wordWrap w:val="0"/>
        <w:topLinePunct/>
        <w:spacing w:line="360" w:lineRule="auto"/>
        <w:ind w:firstLine="566" w:firstLineChars="236"/>
        <w:rPr>
          <w:bCs/>
          <w:snapToGrid w:val="0"/>
          <w:kern w:val="0"/>
          <w:sz w:val="24"/>
        </w:rPr>
      </w:pPr>
      <w:r>
        <w:rPr>
          <w:bCs/>
          <w:snapToGrid w:val="0"/>
          <w:kern w:val="0"/>
          <w:sz w:val="24"/>
        </w:rPr>
        <w:t>1.1项目名称：</w:t>
      </w:r>
      <w:r>
        <w:rPr>
          <w:rFonts w:hint="eastAsia" w:ascii="Times New Roman" w:hAnsi="Times New Roman" w:eastAsia="宋体" w:cs="Times New Roman"/>
          <w:bCs/>
          <w:snapToGrid w:val="0"/>
          <w:kern w:val="0"/>
          <w:sz w:val="24"/>
          <w:lang w:eastAsia="zh-CN"/>
        </w:rPr>
        <w:t>广州市从化至黄埔高速公路一期工程机电工程（SG09合同段）</w:t>
      </w:r>
    </w:p>
    <w:p>
      <w:pPr>
        <w:wordWrap w:val="0"/>
        <w:topLinePunct/>
        <w:spacing w:line="360" w:lineRule="auto"/>
        <w:ind w:firstLine="566" w:firstLineChars="236"/>
      </w:pPr>
      <w:r>
        <w:rPr>
          <w:bCs/>
          <w:snapToGrid w:val="0"/>
          <w:kern w:val="0"/>
          <w:sz w:val="24"/>
        </w:rPr>
        <w:t>1.2项目地点：</w:t>
      </w:r>
      <w:r>
        <w:rPr>
          <w:rFonts w:hint="eastAsia"/>
          <w:bCs/>
          <w:snapToGrid w:val="0"/>
          <w:kern w:val="0"/>
          <w:sz w:val="24"/>
        </w:rPr>
        <w:t>广州</w:t>
      </w:r>
      <w:r>
        <w:rPr>
          <w:bCs/>
          <w:snapToGrid w:val="0"/>
          <w:kern w:val="0"/>
          <w:sz w:val="24"/>
        </w:rPr>
        <w:t>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b/>
        </w:rPr>
      </w:pPr>
      <w:r>
        <w:rPr>
          <w:b/>
          <w:snapToGrid w:val="0"/>
          <w:kern w:val="0"/>
          <w:sz w:val="24"/>
        </w:rPr>
        <w:t>具体工程量清单</w:t>
      </w:r>
    </w:p>
    <w:tbl>
      <w:tblPr>
        <w:tblStyle w:val="13"/>
        <w:tblW w:w="67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170"/>
        <w:gridCol w:w="1276"/>
        <w:gridCol w:w="850"/>
        <w:gridCol w:w="923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49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材料名称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品牌/型号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数量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9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807-9-1-1-3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金属制品线槽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200*100*1.5mm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米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default"/>
                <w:szCs w:val="21"/>
                <w:lang w:val="en-US" w:eastAsia="zh-CN"/>
              </w:rPr>
              <w:t xml:space="preserve">50 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9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807-9-1-1-4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金属制品线槽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200×100×1.5mm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米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default"/>
                <w:szCs w:val="21"/>
                <w:lang w:val="en-US" w:eastAsia="zh-CN"/>
              </w:rPr>
              <w:t xml:space="preserve">1000 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9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807-9-1-2-1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线槽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100*200mm，钢制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米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default"/>
                <w:szCs w:val="21"/>
                <w:lang w:val="en-US" w:eastAsia="zh-CN"/>
              </w:rPr>
              <w:t xml:space="preserve">1400 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1.5mm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9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新增22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ETC门架车牌识别、补光灯不锈钢抱箍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套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190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</w:p>
        </w:tc>
      </w:tr>
    </w:tbl>
    <w:p>
      <w:pPr>
        <w:wordWrap w:val="0"/>
        <w:topLinePunct/>
        <w:spacing w:line="360" w:lineRule="auto"/>
        <w:ind w:firstLine="566" w:firstLineChars="236"/>
        <w:rPr>
          <w:bCs/>
          <w:snapToGrid w:val="0"/>
          <w:kern w:val="0"/>
          <w:sz w:val="24"/>
        </w:rPr>
      </w:pPr>
      <w:r>
        <w:rPr>
          <w:bCs/>
          <w:snapToGrid w:val="0"/>
          <w:kern w:val="0"/>
          <w:sz w:val="24"/>
        </w:rPr>
        <w:t>清单说明：</w:t>
      </w:r>
    </w:p>
    <w:p>
      <w:pPr>
        <w:numPr>
          <w:ilvl w:val="0"/>
          <w:numId w:val="4"/>
        </w:numPr>
        <w:wordWrap w:val="0"/>
        <w:topLinePunct/>
        <w:spacing w:line="360" w:lineRule="auto"/>
        <w:ind w:firstLine="566" w:firstLineChars="236"/>
      </w:pPr>
      <w:r>
        <w:rPr>
          <w:bCs/>
          <w:snapToGrid w:val="0"/>
          <w:kern w:val="0"/>
          <w:sz w:val="24"/>
        </w:rPr>
        <w:t>包括运输、</w:t>
      </w:r>
      <w:r>
        <w:rPr>
          <w:rFonts w:hint="eastAsia"/>
          <w:bCs/>
          <w:snapToGrid w:val="0"/>
          <w:kern w:val="0"/>
          <w:sz w:val="24"/>
          <w:lang w:val="en-US" w:eastAsia="zh-CN"/>
        </w:rPr>
        <w:t>卸货费、</w:t>
      </w:r>
      <w:r>
        <w:rPr>
          <w:bCs/>
          <w:snapToGrid w:val="0"/>
          <w:kern w:val="0"/>
          <w:sz w:val="24"/>
        </w:rPr>
        <w:t>保险费、税费、试运行及缺陷的维护等一切费用；</w:t>
      </w:r>
    </w:p>
    <w:p>
      <w:pPr>
        <w:pStyle w:val="8"/>
        <w:numPr>
          <w:ilvl w:val="0"/>
          <w:numId w:val="4"/>
        </w:numPr>
        <w:ind w:firstLine="566" w:firstLineChars="236"/>
        <w:rPr>
          <w:bCs/>
          <w:snapToGrid w:val="0"/>
          <w:kern w:val="0"/>
          <w:sz w:val="24"/>
        </w:rPr>
      </w:pPr>
      <w:r>
        <w:rPr>
          <w:bCs/>
          <w:snapToGrid w:val="0"/>
          <w:kern w:val="0"/>
          <w:sz w:val="24"/>
        </w:rPr>
        <w:t>质保期：两年；</w:t>
      </w:r>
    </w:p>
    <w:p>
      <w:pPr>
        <w:pStyle w:val="8"/>
        <w:numPr>
          <w:ilvl w:val="0"/>
          <w:numId w:val="4"/>
        </w:numPr>
        <w:ind w:firstLine="566" w:firstLineChars="236"/>
        <w:rPr>
          <w:bCs/>
          <w:snapToGrid w:val="0"/>
          <w:kern w:val="0"/>
          <w:sz w:val="24"/>
        </w:rPr>
      </w:pPr>
      <w:r>
        <w:rPr>
          <w:bCs/>
          <w:snapToGrid w:val="0"/>
          <w:kern w:val="0"/>
          <w:sz w:val="24"/>
        </w:rPr>
        <w:t>最高限价：</w:t>
      </w:r>
      <w:r>
        <w:rPr>
          <w:rFonts w:hint="eastAsia"/>
          <w:bCs/>
          <w:snapToGrid w:val="0"/>
          <w:kern w:val="0"/>
          <w:sz w:val="24"/>
          <w:lang w:val="en-US" w:eastAsia="zh-CN"/>
        </w:rPr>
        <w:t>2161</w:t>
      </w:r>
      <w:r>
        <w:rPr>
          <w:rFonts w:hint="eastAsia"/>
          <w:bCs/>
          <w:snapToGrid w:val="0"/>
          <w:color w:val="auto"/>
          <w:kern w:val="0"/>
          <w:sz w:val="24"/>
          <w:lang w:val="en-US" w:eastAsia="zh-CN"/>
        </w:rPr>
        <w:t>00</w:t>
      </w:r>
      <w:r>
        <w:rPr>
          <w:bCs/>
          <w:snapToGrid w:val="0"/>
          <w:color w:val="auto"/>
          <w:kern w:val="0"/>
          <w:sz w:val="24"/>
        </w:rPr>
        <w:t>.00</w:t>
      </w:r>
      <w:r>
        <w:rPr>
          <w:bCs/>
          <w:snapToGrid w:val="0"/>
          <w:kern w:val="0"/>
          <w:sz w:val="24"/>
        </w:rPr>
        <w:t>元。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b/>
          <w:snapToGrid w:val="0"/>
          <w:kern w:val="0"/>
          <w:sz w:val="24"/>
        </w:rPr>
      </w:pPr>
      <w:r>
        <w:rPr>
          <w:b/>
          <w:snapToGrid w:val="0"/>
          <w:kern w:val="0"/>
          <w:sz w:val="24"/>
        </w:rPr>
        <w:t>技术要求</w:t>
      </w:r>
    </w:p>
    <w:p>
      <w:pPr>
        <w:numPr>
          <w:ilvl w:val="0"/>
          <w:numId w:val="5"/>
        </w:numPr>
        <w:adjustRightInd w:val="0"/>
        <w:snapToGrid w:val="0"/>
        <w:spacing w:line="360" w:lineRule="exact"/>
        <w:ind w:left="567" w:firstLine="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线槽应带有盖板、直通连接、转角、三通、端头封片等相应附件。</w:t>
      </w:r>
    </w:p>
    <w:p>
      <w:pPr>
        <w:numPr>
          <w:ilvl w:val="0"/>
          <w:numId w:val="5"/>
        </w:numPr>
        <w:adjustRightInd w:val="0"/>
        <w:snapToGrid w:val="0"/>
        <w:spacing w:line="360" w:lineRule="exact"/>
        <w:ind w:left="567" w:firstLine="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线槽在锯断后应在断面处涂刷防锈漆进行防锈、防腐处理。</w:t>
      </w:r>
    </w:p>
    <w:p>
      <w:pPr>
        <w:numPr>
          <w:ilvl w:val="0"/>
          <w:numId w:val="5"/>
        </w:numPr>
        <w:adjustRightInd w:val="0"/>
        <w:snapToGrid w:val="0"/>
        <w:spacing w:line="360" w:lineRule="exact"/>
        <w:ind w:left="567" w:firstLine="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由设备终端引至线槽的线路，应在设备端加上标识，采用包塑金属软管保护。根据金属软管规格，在线槽侧面开相应出线孔，金属软管伸入桥架内。</w:t>
      </w:r>
    </w:p>
    <w:p>
      <w:pPr>
        <w:numPr>
          <w:ilvl w:val="0"/>
          <w:numId w:val="5"/>
        </w:numPr>
        <w:adjustRightInd w:val="0"/>
        <w:snapToGrid w:val="0"/>
        <w:spacing w:line="360" w:lineRule="exact"/>
        <w:ind w:left="567" w:firstLine="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每节线槽均应做好接地，配套接地专用端子压接接地线。线槽应有良好的接地，线槽用连接板连接时，任一未喷涂点与接地端子间的连接电阻不大于0.1欧姆。</w:t>
      </w:r>
    </w:p>
    <w:p>
      <w:pPr>
        <w:numPr>
          <w:ilvl w:val="0"/>
          <w:numId w:val="5"/>
        </w:numPr>
        <w:adjustRightInd w:val="0"/>
        <w:snapToGrid w:val="0"/>
        <w:spacing w:line="360" w:lineRule="exact"/>
        <w:ind w:left="567" w:firstLine="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强电线槽所有线缆的总截面不应超过线槽截面的20%。弱电线槽内所有线缆的总截面不应超过线缆截面的50%。</w:t>
      </w:r>
    </w:p>
    <w:p>
      <w:pPr>
        <w:numPr>
          <w:ilvl w:val="0"/>
          <w:numId w:val="5"/>
        </w:numPr>
        <w:adjustRightInd w:val="0"/>
        <w:snapToGrid w:val="0"/>
        <w:spacing w:line="360" w:lineRule="exact"/>
        <w:ind w:left="567" w:firstLine="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电缆线槽采用冷轧钢板热镀锌封闭金属线槽，无孔槽式，按照图纸要求型号中间应可加金属隔板。</w:t>
      </w:r>
    </w:p>
    <w:p>
      <w:pPr>
        <w:numPr>
          <w:ilvl w:val="0"/>
          <w:numId w:val="5"/>
        </w:numPr>
        <w:adjustRightInd w:val="0"/>
        <w:snapToGrid w:val="0"/>
        <w:spacing w:line="360" w:lineRule="exact"/>
        <w:ind w:left="567" w:firstLine="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直线段立向线槽底部有横档可排列固定电缆，横档中心间距不大于1000mm；并且配足符合各种电缆型号的电缆固定卡子。</w:t>
      </w:r>
    </w:p>
    <w:p>
      <w:pPr>
        <w:numPr>
          <w:ilvl w:val="0"/>
          <w:numId w:val="5"/>
        </w:numPr>
        <w:adjustRightInd w:val="0"/>
        <w:snapToGrid w:val="0"/>
        <w:spacing w:line="360" w:lineRule="exact"/>
        <w:ind w:left="567" w:firstLine="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线槽防护等级：户内不低于IP40。</w:t>
      </w:r>
    </w:p>
    <w:p>
      <w:pPr>
        <w:numPr>
          <w:ilvl w:val="0"/>
          <w:numId w:val="5"/>
        </w:numPr>
        <w:adjustRightInd w:val="0"/>
        <w:snapToGrid w:val="0"/>
        <w:spacing w:line="360" w:lineRule="exact"/>
        <w:ind w:left="567" w:firstLine="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板材厚度（均为冷轧钢板厚度，不包含镀锌层厚度）：允许最小板厚不小于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.0mm。</w:t>
      </w:r>
    </w:p>
    <w:p>
      <w:pPr>
        <w:numPr>
          <w:ilvl w:val="0"/>
          <w:numId w:val="5"/>
        </w:numPr>
        <w:adjustRightInd w:val="0"/>
        <w:snapToGrid w:val="0"/>
        <w:spacing w:line="360" w:lineRule="exact"/>
        <w:ind w:left="567" w:firstLine="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连接片的厚度至少按线槽同等板厚选用也可选厚一个等级，盖板的板厚可以按1.5mm。</w:t>
      </w:r>
    </w:p>
    <w:p>
      <w:pPr>
        <w:numPr>
          <w:ilvl w:val="0"/>
          <w:numId w:val="5"/>
        </w:numPr>
        <w:adjustRightInd w:val="0"/>
        <w:snapToGrid w:val="0"/>
        <w:spacing w:line="360" w:lineRule="exact"/>
        <w:ind w:left="567" w:firstLine="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线槽的长度极限偏差：当长度小于等于2米时，极限偏差为±2mm；当长度大于2mm时，极限偏差±4mm。</w:t>
      </w:r>
    </w:p>
    <w:p>
      <w:pPr>
        <w:numPr>
          <w:ilvl w:val="0"/>
          <w:numId w:val="5"/>
        </w:numPr>
        <w:adjustRightInd w:val="0"/>
        <w:snapToGrid w:val="0"/>
        <w:spacing w:line="360" w:lineRule="exact"/>
        <w:ind w:left="567" w:firstLine="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线槽的宽度极限偏差：±3mm。</w:t>
      </w:r>
    </w:p>
    <w:p>
      <w:pPr>
        <w:numPr>
          <w:ilvl w:val="0"/>
          <w:numId w:val="5"/>
        </w:numPr>
        <w:adjustRightInd w:val="0"/>
        <w:snapToGrid w:val="0"/>
        <w:spacing w:line="360" w:lineRule="exact"/>
        <w:ind w:left="567" w:firstLine="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线槽表面平面度允差热镀锌防护处理平面度允差每米不大于8mm电镀锌，防护处理平面度允差每米不大于4mm。</w:t>
      </w:r>
    </w:p>
    <w:p>
      <w:pPr>
        <w:numPr>
          <w:ilvl w:val="0"/>
          <w:numId w:val="5"/>
        </w:numPr>
        <w:adjustRightInd w:val="0"/>
        <w:snapToGrid w:val="0"/>
        <w:spacing w:line="360" w:lineRule="exact"/>
        <w:ind w:left="567" w:firstLine="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线槽桥架配件如弯头、三通、上返弯、下返弯、变径直通、弯头、三通、托臂等按需要配置齐全，不单独计量支付。</w:t>
      </w:r>
    </w:p>
    <w:p>
      <w:pPr>
        <w:numPr>
          <w:ilvl w:val="0"/>
          <w:numId w:val="5"/>
        </w:numPr>
        <w:adjustRightInd w:val="0"/>
        <w:snapToGrid w:val="0"/>
        <w:spacing w:line="360" w:lineRule="exact"/>
        <w:ind w:left="567" w:firstLine="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盖锁的位置一致，同规格的线槽、盖具有互换性，封盖及扣锁配合要紧密可靠。</w:t>
      </w:r>
    </w:p>
    <w:p>
      <w:pPr>
        <w:numPr>
          <w:ilvl w:val="0"/>
          <w:numId w:val="5"/>
        </w:numPr>
        <w:adjustRightInd w:val="0"/>
        <w:snapToGrid w:val="0"/>
        <w:spacing w:line="360" w:lineRule="exact"/>
        <w:ind w:left="567" w:firstLine="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附着力：镀涂层对底材的粘合牢度热镀锌试验应不脱落；锌层附着力在划线、划格法试验锌层不应起皮剥离；检验不低于GB1720中的3级。</w:t>
      </w:r>
    </w:p>
    <w:p>
      <w:pPr>
        <w:numPr>
          <w:ilvl w:val="0"/>
          <w:numId w:val="5"/>
        </w:numPr>
        <w:adjustRightInd w:val="0"/>
        <w:snapToGrid w:val="0"/>
        <w:spacing w:line="360" w:lineRule="exact"/>
        <w:ind w:left="567" w:firstLine="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光泽度：按GB1743用油膜光泽度测定法，用光泽度仪测量数字直接显示防护处理的表面光泽应不低于60%。</w:t>
      </w:r>
    </w:p>
    <w:p>
      <w:pPr>
        <w:numPr>
          <w:ilvl w:val="0"/>
          <w:numId w:val="5"/>
        </w:numPr>
        <w:adjustRightInd w:val="0"/>
        <w:snapToGrid w:val="0"/>
        <w:spacing w:line="360" w:lineRule="exact"/>
        <w:ind w:left="567" w:firstLine="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耐盐雾性：表面防护层应具有3级耐盐雾性。</w:t>
      </w:r>
    </w:p>
    <w:p>
      <w:pPr>
        <w:numPr>
          <w:ilvl w:val="0"/>
          <w:numId w:val="5"/>
        </w:numPr>
        <w:adjustRightInd w:val="0"/>
        <w:snapToGrid w:val="0"/>
        <w:spacing w:line="360" w:lineRule="exact"/>
        <w:ind w:left="567" w:firstLine="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外观：两对边应平行，两侧边对底边应垂直，断面形状应端正，无弯曲、扭曲、裂纹、边沿毛刺等缺陷；锌层表面应光滑均匀、致密。不得有起皮、气泡、花班、局部未镀、划伤。表面应光滑、平整、无损伤电缆绝缘，凸起和尖角。</w:t>
      </w:r>
    </w:p>
    <w:p>
      <w:pPr>
        <w:numPr>
          <w:ilvl w:val="0"/>
          <w:numId w:val="5"/>
        </w:numPr>
        <w:adjustRightInd w:val="0"/>
        <w:snapToGrid w:val="0"/>
        <w:spacing w:line="360" w:lineRule="exact"/>
        <w:ind w:left="567" w:firstLine="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镀锌厚度：热镀锌线槽平均镀锌重量≥</w:t>
      </w:r>
      <w:r>
        <w:rPr>
          <w:rFonts w:hint="eastAsia" w:ascii="宋体" w:hAnsi="宋体" w:cs="宋体"/>
          <w:sz w:val="24"/>
          <w:lang w:val="en-US" w:eastAsia="zh-CN"/>
        </w:rPr>
        <w:t>35</w:t>
      </w:r>
      <w:r>
        <w:rPr>
          <w:rFonts w:hint="eastAsia" w:ascii="宋体" w:hAnsi="宋体" w:cs="宋体"/>
          <w:sz w:val="24"/>
        </w:rPr>
        <w:t>0g/m</w:t>
      </w:r>
      <w:r>
        <w:rPr>
          <w:rFonts w:hint="eastAsia" w:ascii="宋体" w:hAnsi="宋体" w:cs="宋体"/>
          <w:sz w:val="24"/>
          <w:vertAlign w:val="superscript"/>
        </w:rPr>
        <w:t>2</w:t>
      </w:r>
      <w:r>
        <w:rPr>
          <w:rFonts w:hint="eastAsia" w:ascii="宋体" w:hAnsi="宋体" w:cs="宋体"/>
          <w:sz w:val="24"/>
        </w:rPr>
        <w:t>，且其中任何一个试样不得小于550g/m</w:t>
      </w:r>
      <w:r>
        <w:rPr>
          <w:rFonts w:hint="eastAsia" w:ascii="宋体" w:hAnsi="宋体" w:cs="宋体"/>
          <w:sz w:val="24"/>
          <w:vertAlign w:val="superscript"/>
        </w:rPr>
        <w:t>2</w:t>
      </w:r>
      <w:r>
        <w:rPr>
          <w:rFonts w:hint="eastAsia" w:ascii="宋体" w:hAnsi="宋体" w:cs="宋体"/>
          <w:sz w:val="24"/>
        </w:rPr>
        <w:t>。</w:t>
      </w:r>
    </w:p>
    <w:p>
      <w:pPr>
        <w:numPr>
          <w:ilvl w:val="0"/>
          <w:numId w:val="5"/>
        </w:numPr>
        <w:adjustRightInd w:val="0"/>
        <w:snapToGrid w:val="0"/>
        <w:spacing w:line="360" w:lineRule="exact"/>
        <w:ind w:left="567" w:firstLine="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各线槽要配带弯通、三通、四通、伸缩节及线槽堵头，所有螺栓平垫，弹垫，母全部为镀锌产品。</w:t>
      </w:r>
    </w:p>
    <w:p>
      <w:pPr>
        <w:numPr>
          <w:ilvl w:val="0"/>
          <w:numId w:val="5"/>
        </w:numPr>
        <w:adjustRightInd w:val="0"/>
        <w:snapToGrid w:val="0"/>
        <w:spacing w:line="360" w:lineRule="exact"/>
        <w:ind w:left="567" w:firstLine="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未尽事宜按金属线槽的质量控制标准，参照CECS 31：2006《钢制电缆桥架工程设计规范》；JB/T10216-2000《电控配电用电缆桥架》；JB/T6743-93《户内户外钢制电缆桥架防腐环境技术要求》等的有关规定。</w:t>
      </w:r>
    </w:p>
    <w:p>
      <w:pPr>
        <w:tabs>
          <w:tab w:val="left" w:pos="312"/>
        </w:tabs>
        <w:topLinePunct/>
        <w:spacing w:line="360" w:lineRule="auto"/>
        <w:outlineLvl w:val="1"/>
        <w:rPr>
          <w:rFonts w:eastAsiaTheme="minorEastAsia"/>
          <w:b/>
          <w:snapToGrid w:val="0"/>
          <w:kern w:val="0"/>
          <w:szCs w:val="21"/>
        </w:rPr>
      </w:pPr>
    </w:p>
    <w:p>
      <w:pPr>
        <w:numPr>
          <w:ilvl w:val="0"/>
          <w:numId w:val="3"/>
        </w:numPr>
        <w:topLinePunct/>
        <w:spacing w:line="360" w:lineRule="auto"/>
        <w:outlineLvl w:val="1"/>
        <w:rPr>
          <w:b/>
          <w:snapToGrid w:val="0"/>
          <w:kern w:val="0"/>
          <w:sz w:val="24"/>
        </w:rPr>
      </w:pPr>
      <w:r>
        <w:rPr>
          <w:b/>
          <w:snapToGrid w:val="0"/>
          <w:kern w:val="0"/>
          <w:sz w:val="24"/>
        </w:rPr>
        <w:t>供应商资格条件</w:t>
      </w:r>
    </w:p>
    <w:p>
      <w:pPr>
        <w:pStyle w:val="8"/>
        <w:ind w:firstLine="480"/>
      </w:pPr>
      <w:r>
        <w:rPr>
          <w:sz w:val="24"/>
        </w:rPr>
        <w:t>信用信誉良好，所供设备符合本工程量清单设备技术要求。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b/>
          <w:snapToGrid w:val="0"/>
          <w:kern w:val="0"/>
          <w:sz w:val="24"/>
        </w:rPr>
      </w:pPr>
      <w:r>
        <w:rPr>
          <w:b/>
          <w:snapToGrid w:val="0"/>
          <w:kern w:val="0"/>
          <w:sz w:val="24"/>
        </w:rPr>
        <w:t>响应回执的递交</w:t>
      </w:r>
    </w:p>
    <w:p>
      <w:pPr>
        <w:spacing w:line="360" w:lineRule="auto"/>
        <w:ind w:firstLine="480" w:firstLineChars="200"/>
        <w:rPr>
          <w:snapToGrid w:val="0"/>
          <w:color w:val="000000"/>
          <w:kern w:val="0"/>
          <w:sz w:val="24"/>
        </w:rPr>
      </w:pPr>
      <w:r>
        <w:rPr>
          <w:sz w:val="24"/>
        </w:rPr>
        <w:t>凡有意参加本次采购且具备履行本项目能力的供应商，请</w:t>
      </w:r>
      <w:r>
        <w:rPr>
          <w:color w:val="000000"/>
          <w:sz w:val="24"/>
        </w:rPr>
        <w:t>将附于本公告后的响应回执在</w:t>
      </w:r>
      <w:r>
        <w:rPr>
          <w:color w:val="000000"/>
          <w:sz w:val="24"/>
          <w:u w:val="single"/>
        </w:rPr>
        <w:t>2023年</w:t>
      </w:r>
      <w:r>
        <w:rPr>
          <w:rFonts w:hint="eastAsia"/>
          <w:color w:val="000000"/>
          <w:sz w:val="24"/>
          <w:u w:val="single"/>
          <w:lang w:val="en-US" w:eastAsia="zh-CN"/>
        </w:rPr>
        <w:t>05</w:t>
      </w:r>
      <w:r>
        <w:rPr>
          <w:color w:val="000000"/>
          <w:sz w:val="24"/>
          <w:u w:val="single"/>
        </w:rPr>
        <w:t>月</w:t>
      </w:r>
      <w:r>
        <w:rPr>
          <w:rFonts w:hint="eastAsia"/>
          <w:color w:val="000000"/>
          <w:sz w:val="24"/>
          <w:u w:val="single"/>
          <w:lang w:val="en-US" w:eastAsia="zh-CN"/>
        </w:rPr>
        <w:t>30</w:t>
      </w:r>
      <w:r>
        <w:rPr>
          <w:color w:val="000000"/>
          <w:sz w:val="24"/>
          <w:u w:val="single"/>
        </w:rPr>
        <w:t>日</w:t>
      </w:r>
      <w:r>
        <w:rPr>
          <w:rFonts w:hint="eastAsia"/>
          <w:color w:val="000000"/>
          <w:sz w:val="24"/>
          <w:u w:val="single"/>
          <w:lang w:val="en-US" w:eastAsia="zh-CN"/>
        </w:rPr>
        <w:t>16</w:t>
      </w:r>
      <w:bookmarkStart w:id="3" w:name="_GoBack"/>
      <w:bookmarkEnd w:id="3"/>
      <w:r>
        <w:rPr>
          <w:color w:val="000000"/>
          <w:sz w:val="24"/>
          <w:u w:val="single"/>
        </w:rPr>
        <w:t>：00</w:t>
      </w:r>
      <w:r>
        <w:rPr>
          <w:color w:val="000000"/>
          <w:sz w:val="24"/>
        </w:rPr>
        <w:t>之前发送至采购人邮箱：</w:t>
      </w:r>
      <w:r>
        <w:rPr>
          <w:rFonts w:hint="eastAsia"/>
          <w:color w:val="000000"/>
          <w:sz w:val="24"/>
          <w:lang w:val="en-US" w:eastAsia="zh-CN"/>
        </w:rPr>
        <w:t>gzlhr2</w:t>
      </w:r>
      <w:r>
        <w:rPr>
          <w:snapToGrid w:val="0"/>
          <w:color w:val="000000"/>
          <w:kern w:val="0"/>
          <w:sz w:val="24"/>
        </w:rPr>
        <w:t>@</w:t>
      </w:r>
      <w:r>
        <w:rPr>
          <w:rFonts w:hint="eastAsia"/>
          <w:snapToGrid w:val="0"/>
          <w:color w:val="000000"/>
          <w:kern w:val="0"/>
          <w:sz w:val="24"/>
          <w:lang w:val="en-US" w:eastAsia="zh-CN"/>
        </w:rPr>
        <w:t>163</w:t>
      </w:r>
      <w:r>
        <w:rPr>
          <w:snapToGrid w:val="0"/>
          <w:color w:val="000000"/>
          <w:kern w:val="0"/>
          <w:sz w:val="24"/>
        </w:rPr>
        <w:t>.com，逾期无效。采购人在收到响应回执后根据供应商信用信誉等情况进行讨论提议，不再另行发布采购公告。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b/>
          <w:snapToGrid w:val="0"/>
          <w:kern w:val="0"/>
          <w:sz w:val="24"/>
        </w:rPr>
      </w:pPr>
      <w:bookmarkStart w:id="0" w:name="_Toc332793891"/>
      <w:bookmarkStart w:id="1" w:name="_Toc332793818"/>
      <w:bookmarkStart w:id="2" w:name="_Toc332965960"/>
      <w:r>
        <w:rPr>
          <w:b/>
          <w:snapToGrid w:val="0"/>
          <w:kern w:val="0"/>
          <w:sz w:val="24"/>
        </w:rPr>
        <w:t>联系方式</w:t>
      </w:r>
      <w:bookmarkEnd w:id="0"/>
      <w:bookmarkEnd w:id="1"/>
      <w:bookmarkEnd w:id="2"/>
    </w:p>
    <w:p>
      <w:pPr>
        <w:topLinePunct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采购  人：广东诚泰交通科技发展有限公司</w:t>
      </w:r>
    </w:p>
    <w:p>
      <w:pPr>
        <w:topLinePunct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采购人地址：广州市番禺区洛浦街道北环路87号道路研究院二号楼</w:t>
      </w:r>
    </w:p>
    <w:p>
      <w:pPr>
        <w:topLinePunct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联  系  人：</w:t>
      </w:r>
      <w:r>
        <w:rPr>
          <w:rFonts w:hint="eastAsia"/>
          <w:color w:val="000000"/>
          <w:sz w:val="24"/>
          <w:lang w:eastAsia="zh-CN"/>
        </w:rPr>
        <w:t>廖</w:t>
      </w:r>
      <w:r>
        <w:rPr>
          <w:color w:val="000000"/>
          <w:sz w:val="24"/>
        </w:rPr>
        <w:t>工</w:t>
      </w:r>
    </w:p>
    <w:p>
      <w:pPr>
        <w:topLinePunct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电      话：020-39185740</w:t>
      </w:r>
    </w:p>
    <w:p>
      <w:pPr>
        <w:topLinePunct/>
        <w:spacing w:line="360" w:lineRule="auto"/>
        <w:jc w:val="right"/>
        <w:rPr>
          <w:color w:val="000000"/>
          <w:sz w:val="24"/>
        </w:rPr>
      </w:pPr>
      <w:r>
        <w:rPr>
          <w:color w:val="000000"/>
          <w:sz w:val="24"/>
        </w:rPr>
        <w:t>广东诚泰交通科技发展有限公司</w:t>
      </w:r>
    </w:p>
    <w:p>
      <w:pPr>
        <w:topLinePunc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2023年</w:t>
      </w:r>
      <w:r>
        <w:rPr>
          <w:rFonts w:hint="eastAsia"/>
          <w:color w:val="000000"/>
          <w:sz w:val="24"/>
          <w:lang w:val="en-US" w:eastAsia="zh-CN"/>
        </w:rPr>
        <w:t>05</w:t>
      </w:r>
      <w:r>
        <w:rPr>
          <w:color w:val="000000"/>
          <w:sz w:val="24"/>
        </w:rPr>
        <w:t>月</w:t>
      </w:r>
      <w:r>
        <w:rPr>
          <w:rFonts w:hint="eastAsia"/>
          <w:color w:val="000000"/>
          <w:sz w:val="24"/>
          <w:lang w:val="en-US" w:eastAsia="zh-CN"/>
        </w:rPr>
        <w:t>29</w:t>
      </w:r>
      <w:r>
        <w:rPr>
          <w:color w:val="000000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EB739B"/>
    <w:multiLevelType w:val="singleLevel"/>
    <w:tmpl w:val="AAEB73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C06D5F"/>
    <w:multiLevelType w:val="singleLevel"/>
    <w:tmpl w:val="CEC06D5F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171657A1"/>
    <w:multiLevelType w:val="multilevel"/>
    <w:tmpl w:val="171657A1"/>
    <w:lvl w:ilvl="0" w:tentative="0">
      <w:start w:val="1"/>
      <w:numFmt w:val="decimal"/>
      <w:suff w:val="nothing"/>
      <w:lvlText w:val="%1 "/>
      <w:lvlJc w:val="left"/>
      <w:pPr>
        <w:ind w:left="0" w:firstLine="0"/>
      </w:pPr>
      <w:rPr>
        <w:rFonts w:hint="default" w:ascii="Book Antiqua" w:hAnsi="Book Antiqua" w:eastAsia="黑体" w:cs="Book Antiqua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 w:tentative="0">
      <w:start w:val="1"/>
      <w:numFmt w:val="decimal"/>
      <w:pStyle w:val="4"/>
      <w:suff w:val="nothing"/>
      <w:lvlText w:val="%1.%2 "/>
      <w:lvlJc w:val="left"/>
      <w:pPr>
        <w:ind w:left="0" w:firstLine="0"/>
      </w:pPr>
      <w:rPr>
        <w:rFonts w:hint="default" w:ascii="Book Antiqua" w:hAnsi="Book Antiqua" w:eastAsia="黑体" w:cs="Book Antiqua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 w:tentative="0">
      <w:start w:val="1"/>
      <w:numFmt w:val="decimal"/>
      <w:pStyle w:val="5"/>
      <w:suff w:val="nothing"/>
      <w:lvlText w:val="%1.%2.%3 "/>
      <w:lvlJc w:val="left"/>
      <w:pPr>
        <w:ind w:left="142" w:firstLine="0"/>
      </w:pPr>
    </w:lvl>
    <w:lvl w:ilvl="3" w:tentative="0">
      <w:start w:val="1"/>
      <w:numFmt w:val="decimal"/>
      <w:lvlRestart w:val="1"/>
      <w:pStyle w:val="6"/>
      <w:suff w:val="nothing"/>
      <w:lvlText w:val="%1.%2.%3.%4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 w:tentative="0">
      <w:start w:val="1"/>
      <w:numFmt w:val="decimal"/>
      <w:lvlRestart w:val="1"/>
      <w:pStyle w:val="7"/>
      <w:suff w:val="nothing"/>
      <w:lvlText w:val="%1.%2.%3.%4.%5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entative="0">
      <w:start w:val="1"/>
      <w:numFmt w:val="none"/>
      <w:pStyle w:val="25"/>
      <w:suff w:val="nothing"/>
      <w:lvlText w:val=""/>
      <w:lvlJc w:val="left"/>
      <w:pPr>
        <w:ind w:left="0" w:firstLine="0"/>
      </w:pPr>
      <w:rPr>
        <w:rFonts w:hint="default" w:ascii="Arial" w:hAnsi="Arial" w:cs="Arial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 w:tentative="0">
      <w:start w:val="1"/>
      <w:numFmt w:val="decimal"/>
      <w:pStyle w:val="29"/>
      <w:lvlText w:val="步骤 %7"/>
      <w:lvlJc w:val="right"/>
      <w:pPr>
        <w:tabs>
          <w:tab w:val="left" w:pos="1701"/>
        </w:tabs>
        <w:ind w:left="1701" w:hanging="159"/>
      </w:pPr>
      <w:rPr>
        <w:rFonts w:hint="default" w:ascii="Book Antiqua" w:hAnsi="Book Antiqua" w:eastAsia="黑体" w:cs="Times New Roman"/>
        <w:b w:val="0"/>
        <w:bCs/>
        <w:i w:val="0"/>
        <w:iCs w:val="0"/>
        <w:color w:val="auto"/>
        <w:sz w:val="21"/>
        <w:szCs w:val="21"/>
      </w:rPr>
    </w:lvl>
    <w:lvl w:ilvl="7" w:tentative="0">
      <w:start w:val="1"/>
      <w:numFmt w:val="decimal"/>
      <w:lvlRestart w:val="1"/>
      <w:pStyle w:val="35"/>
      <w:suff w:val="space"/>
      <w:lvlText w:val="图%1-%8"/>
      <w:lvlJc w:val="left"/>
      <w:pPr>
        <w:ind w:left="1701" w:firstLine="0"/>
      </w:pPr>
      <w:rPr>
        <w:rFonts w:hint="default" w:ascii="Times New Roman" w:hAnsi="Times New Roman" w:eastAsia="黑体" w:cs="Book Antiqua"/>
        <w:b w:val="0"/>
        <w:bCs/>
        <w:i w:val="0"/>
        <w:iCs w:val="0"/>
        <w:strike w:val="0"/>
        <w:dstrike w:val="0"/>
        <w:color w:val="000000"/>
        <w:sz w:val="21"/>
        <w:szCs w:val="21"/>
        <w:vertAlign w:val="baseline"/>
      </w:rPr>
    </w:lvl>
    <w:lvl w:ilvl="8" w:tentative="0">
      <w:start w:val="1"/>
      <w:numFmt w:val="decimal"/>
      <w:lvlRestart w:val="1"/>
      <w:pStyle w:val="26"/>
      <w:suff w:val="space"/>
      <w:lvlText w:val="表%1-%9"/>
      <w:lvlJc w:val="left"/>
      <w:pPr>
        <w:ind w:left="1701" w:firstLine="0"/>
      </w:pPr>
      <w:rPr>
        <w:rFonts w:hint="default" w:ascii="Times New Roman" w:hAnsi="Times New Roman" w:eastAsia="黑体"/>
        <w:b w:val="0"/>
        <w:bCs/>
        <w:i w:val="0"/>
        <w:iCs w:val="0"/>
        <w:color w:val="auto"/>
        <w:sz w:val="21"/>
        <w:szCs w:val="21"/>
      </w:rPr>
    </w:lvl>
  </w:abstractNum>
  <w:abstractNum w:abstractNumId="3">
    <w:nsid w:val="5AF52C1A"/>
    <w:multiLevelType w:val="multilevel"/>
    <w:tmpl w:val="5AF52C1A"/>
    <w:lvl w:ilvl="0" w:tentative="0">
      <w:start w:val="1"/>
      <w:numFmt w:val="bullet"/>
      <w:lvlText w:val="-"/>
      <w:lvlJc w:val="left"/>
      <w:pPr>
        <w:ind w:left="420" w:hanging="42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E230785"/>
    <w:multiLevelType w:val="multilevel"/>
    <w:tmpl w:val="6E230785"/>
    <w:lvl w:ilvl="0" w:tentative="0">
      <w:start w:val="1"/>
      <w:numFmt w:val="bullet"/>
      <w:pStyle w:val="34"/>
      <w:lvlText w:val=""/>
      <w:lvlJc w:val="left"/>
      <w:pPr>
        <w:tabs>
          <w:tab w:val="left" w:pos="170"/>
        </w:tabs>
        <w:ind w:left="170" w:hanging="170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1" w:tentative="0">
      <w:start w:val="1"/>
      <w:numFmt w:val="lowerLetter"/>
      <w:pStyle w:val="31"/>
      <w:lvlText w:val="%2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2" w:tentative="0">
      <w:start w:val="1"/>
      <w:numFmt w:val="bullet"/>
      <w:pStyle w:val="32"/>
      <w:lvlText w:val="−"/>
      <w:lvlJc w:val="left"/>
      <w:pPr>
        <w:tabs>
          <w:tab w:val="left" w:pos="568"/>
        </w:tabs>
        <w:ind w:left="568" w:hanging="284"/>
      </w:pPr>
      <w:rPr>
        <w:rFonts w:hint="default" w:ascii="Times New Roman" w:hAnsi="Times New Roman" w:cs="Times New Roman"/>
        <w:sz w:val="16"/>
        <w:szCs w:val="16"/>
      </w:rPr>
    </w:lvl>
    <w:lvl w:ilvl="3" w:tentative="0">
      <w:start w:val="1"/>
      <w:numFmt w:val="decimal"/>
      <w:pStyle w:val="33"/>
      <w:lvlText w:val="%4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4" w:tentative="0">
      <w:start w:val="1"/>
      <w:numFmt w:val="bullet"/>
      <w:pStyle w:val="38"/>
      <w:lvlText w:val=""/>
      <w:lvlJc w:val="left"/>
      <w:pPr>
        <w:tabs>
          <w:tab w:val="left" w:pos="568"/>
        </w:tabs>
        <w:ind w:left="568" w:hanging="284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5" w:tentative="0">
      <w:start w:val="1"/>
      <w:numFmt w:val="decimal"/>
      <w:pStyle w:val="30"/>
      <w:lvlText w:val="%6."/>
      <w:lvlJc w:val="left"/>
      <w:pPr>
        <w:tabs>
          <w:tab w:val="left" w:pos="1985"/>
        </w:tabs>
        <w:ind w:left="1985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21"/>
        <w:szCs w:val="21"/>
      </w:rPr>
    </w:lvl>
    <w:lvl w:ilvl="6" w:tentative="0">
      <w:start w:val="1"/>
      <w:numFmt w:val="decimal"/>
      <w:pStyle w:val="36"/>
      <w:lvlText w:val="%7."/>
      <w:lvlJc w:val="left"/>
      <w:pPr>
        <w:tabs>
          <w:tab w:val="left" w:pos="2359"/>
        </w:tabs>
        <w:ind w:left="2359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7" w:tentative="0">
      <w:start w:val="1"/>
      <w:numFmt w:val="decimal"/>
      <w:pStyle w:val="37"/>
      <w:lvlText w:val="%8."/>
      <w:lvlJc w:val="left"/>
      <w:pPr>
        <w:tabs>
          <w:tab w:val="left" w:pos="454"/>
        </w:tabs>
        <w:ind w:left="454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lmZWYwYjZjYWZmZmQxZjk0MGVkZjNjMjcxOTA3ZjgifQ=="/>
  </w:docVars>
  <w:rsids>
    <w:rsidRoot w:val="00172A27"/>
    <w:rsid w:val="00123FE3"/>
    <w:rsid w:val="001301C5"/>
    <w:rsid w:val="00172A27"/>
    <w:rsid w:val="00477707"/>
    <w:rsid w:val="005603E4"/>
    <w:rsid w:val="00791D96"/>
    <w:rsid w:val="009A3C9A"/>
    <w:rsid w:val="00CC1A2E"/>
    <w:rsid w:val="00ED32E4"/>
    <w:rsid w:val="00EE2011"/>
    <w:rsid w:val="00FA736A"/>
    <w:rsid w:val="00FC4153"/>
    <w:rsid w:val="00FD7ED5"/>
    <w:rsid w:val="02040FDF"/>
    <w:rsid w:val="03393105"/>
    <w:rsid w:val="046E3765"/>
    <w:rsid w:val="061439B5"/>
    <w:rsid w:val="06622CB2"/>
    <w:rsid w:val="072D08E0"/>
    <w:rsid w:val="08EE3671"/>
    <w:rsid w:val="0A69025B"/>
    <w:rsid w:val="0DA26991"/>
    <w:rsid w:val="0ECB4993"/>
    <w:rsid w:val="112A7044"/>
    <w:rsid w:val="12ED5CBA"/>
    <w:rsid w:val="14C447F8"/>
    <w:rsid w:val="18606150"/>
    <w:rsid w:val="19B32EC3"/>
    <w:rsid w:val="1A786886"/>
    <w:rsid w:val="1D5379E4"/>
    <w:rsid w:val="1DC008E5"/>
    <w:rsid w:val="1F3E25C9"/>
    <w:rsid w:val="1F8905C9"/>
    <w:rsid w:val="20184264"/>
    <w:rsid w:val="20205D7D"/>
    <w:rsid w:val="2039362C"/>
    <w:rsid w:val="24875F4B"/>
    <w:rsid w:val="254209D6"/>
    <w:rsid w:val="28126A09"/>
    <w:rsid w:val="292922C2"/>
    <w:rsid w:val="2A6117E0"/>
    <w:rsid w:val="2A9C2048"/>
    <w:rsid w:val="2B975488"/>
    <w:rsid w:val="2BB05A29"/>
    <w:rsid w:val="2BBE1469"/>
    <w:rsid w:val="2C101B15"/>
    <w:rsid w:val="2D393A69"/>
    <w:rsid w:val="2E0860D1"/>
    <w:rsid w:val="2E5A20BA"/>
    <w:rsid w:val="2ECB5FE2"/>
    <w:rsid w:val="34403FA4"/>
    <w:rsid w:val="34DB5F68"/>
    <w:rsid w:val="35912415"/>
    <w:rsid w:val="38A511DA"/>
    <w:rsid w:val="3A7D6982"/>
    <w:rsid w:val="3BDA652C"/>
    <w:rsid w:val="3C047712"/>
    <w:rsid w:val="3DD1395F"/>
    <w:rsid w:val="3E8C010F"/>
    <w:rsid w:val="3EFD65C9"/>
    <w:rsid w:val="400E2C48"/>
    <w:rsid w:val="403A795B"/>
    <w:rsid w:val="4044389B"/>
    <w:rsid w:val="40C03B09"/>
    <w:rsid w:val="42100EF9"/>
    <w:rsid w:val="434B112E"/>
    <w:rsid w:val="43C84797"/>
    <w:rsid w:val="46C97C03"/>
    <w:rsid w:val="472B5FAC"/>
    <w:rsid w:val="48AD79E8"/>
    <w:rsid w:val="4908486B"/>
    <w:rsid w:val="49DC5C4D"/>
    <w:rsid w:val="4A44006F"/>
    <w:rsid w:val="4BFB311F"/>
    <w:rsid w:val="4DA31AFF"/>
    <w:rsid w:val="4DB34E2F"/>
    <w:rsid w:val="50DE6FEF"/>
    <w:rsid w:val="515756D7"/>
    <w:rsid w:val="52871060"/>
    <w:rsid w:val="52ED4007"/>
    <w:rsid w:val="54210D44"/>
    <w:rsid w:val="560F1B9D"/>
    <w:rsid w:val="57BF2D4E"/>
    <w:rsid w:val="58B74CBC"/>
    <w:rsid w:val="5B2814D9"/>
    <w:rsid w:val="5E8E770E"/>
    <w:rsid w:val="5F087C2D"/>
    <w:rsid w:val="623B7383"/>
    <w:rsid w:val="63166D1A"/>
    <w:rsid w:val="65922BE0"/>
    <w:rsid w:val="69334E3A"/>
    <w:rsid w:val="6AC87D14"/>
    <w:rsid w:val="6B1E5370"/>
    <w:rsid w:val="6C083654"/>
    <w:rsid w:val="6C094604"/>
    <w:rsid w:val="6C751B3B"/>
    <w:rsid w:val="6E354925"/>
    <w:rsid w:val="6E4A295F"/>
    <w:rsid w:val="710B2708"/>
    <w:rsid w:val="724471CD"/>
    <w:rsid w:val="7313127A"/>
    <w:rsid w:val="74963E13"/>
    <w:rsid w:val="760D37CC"/>
    <w:rsid w:val="79E2018B"/>
    <w:rsid w:val="7C7F737F"/>
    <w:rsid w:val="7DD345AE"/>
    <w:rsid w:val="7F263D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5"/>
    <w:link w:val="17"/>
    <w:qFormat/>
    <w:uiPriority w:val="0"/>
    <w:pPr>
      <w:keepNext/>
      <w:keepLines/>
      <w:widowControl/>
      <w:numPr>
        <w:ilvl w:val="1"/>
        <w:numId w:val="1"/>
      </w:numPr>
      <w:topLinePunct/>
      <w:adjustRightInd w:val="0"/>
      <w:snapToGrid w:val="0"/>
      <w:spacing w:before="600" w:after="160" w:line="240" w:lineRule="atLeast"/>
      <w:jc w:val="left"/>
      <w:outlineLvl w:val="1"/>
    </w:pPr>
    <w:rPr>
      <w:rFonts w:hint="eastAsia" w:ascii="Book Antiqua" w:hAnsi="Book Antiqua" w:eastAsia="黑体" w:cs="Book Antiqua"/>
      <w:bCs/>
      <w:kern w:val="0"/>
      <w:sz w:val="36"/>
      <w:szCs w:val="36"/>
      <w:lang w:eastAsia="en-US"/>
    </w:rPr>
  </w:style>
  <w:style w:type="paragraph" w:styleId="5">
    <w:name w:val="heading 3"/>
    <w:basedOn w:val="1"/>
    <w:next w:val="1"/>
    <w:link w:val="18"/>
    <w:qFormat/>
    <w:uiPriority w:val="0"/>
    <w:pPr>
      <w:keepNext/>
      <w:keepLines/>
      <w:widowControl/>
      <w:numPr>
        <w:ilvl w:val="2"/>
        <w:numId w:val="1"/>
      </w:numPr>
      <w:topLinePunct/>
      <w:adjustRightInd w:val="0"/>
      <w:snapToGrid w:val="0"/>
      <w:spacing w:before="200" w:after="160" w:line="240" w:lineRule="atLeast"/>
      <w:jc w:val="left"/>
      <w:outlineLvl w:val="2"/>
    </w:pPr>
    <w:rPr>
      <w:rFonts w:hint="eastAsia" w:ascii="Book Antiqua" w:hAnsi="Book Antiqua" w:eastAsia="黑体" w:cs="宋体"/>
      <w:kern w:val="0"/>
      <w:sz w:val="32"/>
      <w:szCs w:val="32"/>
    </w:rPr>
  </w:style>
  <w:style w:type="paragraph" w:styleId="6">
    <w:name w:val="heading 4"/>
    <w:basedOn w:val="1"/>
    <w:next w:val="1"/>
    <w:link w:val="19"/>
    <w:qFormat/>
    <w:uiPriority w:val="0"/>
    <w:pPr>
      <w:keepNext/>
      <w:keepLines/>
      <w:widowControl/>
      <w:numPr>
        <w:ilvl w:val="3"/>
        <w:numId w:val="1"/>
      </w:numPr>
      <w:topLinePunct/>
      <w:adjustRightInd w:val="0"/>
      <w:snapToGrid w:val="0"/>
      <w:spacing w:before="160" w:after="160" w:line="240" w:lineRule="atLeast"/>
      <w:jc w:val="left"/>
      <w:outlineLvl w:val="3"/>
    </w:pPr>
    <w:rPr>
      <w:rFonts w:hint="eastAsia" w:ascii="Book Antiqua" w:hAnsi="Book Antiqua" w:eastAsia="黑体" w:cs="宋体"/>
      <w:kern w:val="0"/>
      <w:sz w:val="28"/>
      <w:szCs w:val="28"/>
    </w:rPr>
  </w:style>
  <w:style w:type="paragraph" w:styleId="7">
    <w:name w:val="heading 5"/>
    <w:basedOn w:val="1"/>
    <w:next w:val="1"/>
    <w:link w:val="20"/>
    <w:qFormat/>
    <w:uiPriority w:val="0"/>
    <w:pPr>
      <w:keepNext/>
      <w:keepLines/>
      <w:widowControl/>
      <w:numPr>
        <w:ilvl w:val="4"/>
        <w:numId w:val="1"/>
      </w:numPr>
      <w:topLinePunct/>
      <w:adjustRightInd w:val="0"/>
      <w:snapToGrid w:val="0"/>
      <w:spacing w:before="160" w:after="160" w:line="240" w:lineRule="atLeast"/>
      <w:jc w:val="left"/>
      <w:outlineLvl w:val="4"/>
    </w:pPr>
    <w:rPr>
      <w:rFonts w:hint="eastAsia" w:ascii="Book Antiqua" w:hAnsi="Book Antiqua" w:eastAsia="黑体" w:cs="宋体"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 w:val="0"/>
      <w:snapToGrid/>
      <w:spacing w:after="120" w:line="240" w:lineRule="auto"/>
      <w:ind w:left="420" w:leftChars="200" w:firstLine="420" w:firstLineChars="200"/>
    </w:pPr>
    <w:rPr>
      <w:rFonts w:asciiTheme="minorHAnsi" w:hAnsiTheme="minorHAnsi" w:eastAsiaTheme="minorEastAsia"/>
      <w:spacing w:val="0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lang w:val="zh-CN"/>
    </w:rPr>
  </w:style>
  <w:style w:type="paragraph" w:styleId="8">
    <w:name w:val="Normal Indent"/>
    <w:basedOn w:val="1"/>
    <w:qFormat/>
    <w:uiPriority w:val="99"/>
    <w:pPr>
      <w:ind w:firstLine="420" w:firstLineChars="200"/>
    </w:pPr>
  </w:style>
  <w:style w:type="paragraph" w:styleId="9">
    <w:name w:val="Plain Text"/>
    <w:basedOn w:val="1"/>
    <w:next w:val="1"/>
    <w:qFormat/>
    <w:uiPriority w:val="0"/>
    <w:rPr>
      <w:rFonts w:ascii="宋体" w:hAnsi="Courier New"/>
      <w:szCs w:val="20"/>
    </w:rPr>
  </w:style>
  <w:style w:type="paragraph" w:styleId="10">
    <w:name w:val="Balloon Text"/>
    <w:basedOn w:val="1"/>
    <w:link w:val="39"/>
    <w:qFormat/>
    <w:uiPriority w:val="0"/>
    <w:rPr>
      <w:sz w:val="18"/>
      <w:szCs w:val="18"/>
    </w:rPr>
  </w:style>
  <w:style w:type="paragraph" w:styleId="11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5">
    <w:name w:val="页眉 Char"/>
    <w:basedOn w:val="14"/>
    <w:link w:val="12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4"/>
    <w:link w:val="11"/>
    <w:qFormat/>
    <w:uiPriority w:val="0"/>
    <w:rPr>
      <w:kern w:val="2"/>
      <w:sz w:val="18"/>
      <w:szCs w:val="18"/>
    </w:rPr>
  </w:style>
  <w:style w:type="character" w:customStyle="1" w:styleId="17">
    <w:name w:val="标题 2 Char"/>
    <w:basedOn w:val="14"/>
    <w:link w:val="4"/>
    <w:qFormat/>
    <w:uiPriority w:val="0"/>
    <w:rPr>
      <w:rFonts w:ascii="Book Antiqua" w:hAnsi="Book Antiqua" w:eastAsia="黑体" w:cs="Book Antiqua"/>
      <w:bCs/>
      <w:sz w:val="36"/>
      <w:szCs w:val="36"/>
      <w:lang w:eastAsia="en-US"/>
    </w:rPr>
  </w:style>
  <w:style w:type="character" w:customStyle="1" w:styleId="18">
    <w:name w:val="标题 3 Char"/>
    <w:basedOn w:val="14"/>
    <w:link w:val="5"/>
    <w:qFormat/>
    <w:uiPriority w:val="0"/>
    <w:rPr>
      <w:rFonts w:ascii="Book Antiqua" w:hAnsi="Book Antiqua" w:eastAsia="黑体" w:cs="宋体"/>
      <w:sz w:val="32"/>
      <w:szCs w:val="32"/>
    </w:rPr>
  </w:style>
  <w:style w:type="character" w:customStyle="1" w:styleId="19">
    <w:name w:val="标题 4 Char"/>
    <w:basedOn w:val="14"/>
    <w:link w:val="6"/>
    <w:qFormat/>
    <w:uiPriority w:val="0"/>
    <w:rPr>
      <w:rFonts w:ascii="Book Antiqua" w:hAnsi="Book Antiqua" w:eastAsia="黑体" w:cs="宋体"/>
      <w:sz w:val="28"/>
      <w:szCs w:val="28"/>
    </w:rPr>
  </w:style>
  <w:style w:type="character" w:customStyle="1" w:styleId="20">
    <w:name w:val="标题 5 Char"/>
    <w:basedOn w:val="14"/>
    <w:link w:val="7"/>
    <w:uiPriority w:val="0"/>
    <w:rPr>
      <w:rFonts w:ascii="Book Antiqua" w:hAnsi="Book Antiqua" w:eastAsia="黑体" w:cs="宋体"/>
      <w:sz w:val="24"/>
      <w:szCs w:val="24"/>
    </w:rPr>
  </w:style>
  <w:style w:type="paragraph" w:styleId="21">
    <w:name w:val="List Paragraph"/>
    <w:basedOn w:val="1"/>
    <w:link w:val="22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2">
    <w:name w:val="列出段落 Char"/>
    <w:link w:val="21"/>
    <w:qFormat/>
    <w:uiPriority w:val="34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Item Step in table Char Char"/>
    <w:link w:val="24"/>
    <w:uiPriority w:val="0"/>
    <w:rPr>
      <w:rFonts w:cs="Arial"/>
      <w:bCs/>
      <w:szCs w:val="28"/>
    </w:rPr>
  </w:style>
  <w:style w:type="paragraph" w:customStyle="1" w:styleId="24">
    <w:name w:val="Item Step in table"/>
    <w:basedOn w:val="7"/>
    <w:link w:val="23"/>
    <w:qFormat/>
    <w:uiPriority w:val="0"/>
    <w:pPr>
      <w:numPr>
        <w:ilvl w:val="0"/>
        <w:numId w:val="0"/>
      </w:numPr>
      <w:tabs>
        <w:tab w:val="left" w:pos="420"/>
      </w:tabs>
      <w:spacing w:before="80" w:after="80" w:line="240" w:lineRule="auto"/>
      <w:ind w:left="420" w:hanging="420"/>
    </w:pPr>
    <w:rPr>
      <w:rFonts w:hint="default" w:ascii="Times New Roman" w:hAnsi="Times New Roman" w:eastAsia="宋体" w:cs="Arial"/>
      <w:bCs/>
      <w:sz w:val="20"/>
      <w:szCs w:val="28"/>
    </w:rPr>
  </w:style>
  <w:style w:type="paragraph" w:customStyle="1" w:styleId="25">
    <w:name w:val="Block Label"/>
    <w:basedOn w:val="1"/>
    <w:next w:val="1"/>
    <w:qFormat/>
    <w:uiPriority w:val="0"/>
    <w:pPr>
      <w:keepNext/>
      <w:keepLines/>
      <w:widowControl/>
      <w:numPr>
        <w:ilvl w:val="5"/>
        <w:numId w:val="1"/>
      </w:numPr>
      <w:topLinePunct/>
      <w:adjustRightInd w:val="0"/>
      <w:snapToGrid w:val="0"/>
      <w:spacing w:before="300" w:after="80" w:line="240" w:lineRule="atLeast"/>
      <w:jc w:val="left"/>
    </w:pPr>
    <w:rPr>
      <w:rFonts w:hint="eastAsia" w:ascii="Book Antiqua" w:hAnsi="Book Antiqua" w:eastAsia="黑体" w:cs="Book Antiqua"/>
      <w:bCs/>
      <w:kern w:val="0"/>
      <w:sz w:val="26"/>
      <w:szCs w:val="26"/>
    </w:rPr>
  </w:style>
  <w:style w:type="paragraph" w:customStyle="1" w:styleId="26">
    <w:name w:val="Table Description"/>
    <w:basedOn w:val="1"/>
    <w:next w:val="1"/>
    <w:qFormat/>
    <w:uiPriority w:val="0"/>
    <w:pPr>
      <w:keepNext/>
      <w:widowControl/>
      <w:numPr>
        <w:ilvl w:val="8"/>
        <w:numId w:val="1"/>
      </w:numPr>
      <w:topLinePunct/>
      <w:adjustRightInd w:val="0"/>
      <w:snapToGrid w:val="0"/>
      <w:spacing w:before="320" w:after="80" w:line="240" w:lineRule="atLeast"/>
      <w:jc w:val="left"/>
    </w:pPr>
    <w:rPr>
      <w:rFonts w:hint="eastAsia" w:eastAsia="黑体" w:cs="Arial"/>
      <w:spacing w:val="-4"/>
      <w:szCs w:val="21"/>
    </w:rPr>
  </w:style>
  <w:style w:type="character" w:customStyle="1" w:styleId="27">
    <w:name w:val="Table Text Char"/>
    <w:link w:val="28"/>
    <w:uiPriority w:val="0"/>
    <w:rPr>
      <w:rFonts w:cs="Arial"/>
      <w:szCs w:val="21"/>
    </w:rPr>
  </w:style>
  <w:style w:type="paragraph" w:customStyle="1" w:styleId="28">
    <w:name w:val="Table Text"/>
    <w:basedOn w:val="1"/>
    <w:link w:val="27"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rFonts w:cs="Arial"/>
      <w:kern w:val="0"/>
      <w:sz w:val="20"/>
      <w:szCs w:val="21"/>
    </w:rPr>
  </w:style>
  <w:style w:type="paragraph" w:customStyle="1" w:styleId="29">
    <w:name w:val="Step"/>
    <w:basedOn w:val="1"/>
    <w:qFormat/>
    <w:uiPriority w:val="0"/>
    <w:pPr>
      <w:widowControl/>
      <w:numPr>
        <w:ilvl w:val="6"/>
        <w:numId w:val="1"/>
      </w:numPr>
      <w:topLinePunct/>
      <w:adjustRightInd w:val="0"/>
      <w:snapToGrid w:val="0"/>
      <w:spacing w:before="160" w:after="160" w:line="240" w:lineRule="atLeast"/>
      <w:jc w:val="left"/>
    </w:pPr>
    <w:rPr>
      <w:rFonts w:hint="eastAsia" w:cs="Arial"/>
      <w:snapToGrid w:val="0"/>
      <w:kern w:val="0"/>
      <w:szCs w:val="21"/>
    </w:rPr>
  </w:style>
  <w:style w:type="paragraph" w:customStyle="1" w:styleId="30">
    <w:name w:val="CAUTION Text Step"/>
    <w:basedOn w:val="1"/>
    <w:qFormat/>
    <w:uiPriority w:val="0"/>
    <w:pPr>
      <w:keepNext/>
      <w:keepLines/>
      <w:widowControl/>
      <w:numPr>
        <w:ilvl w:val="5"/>
        <w:numId w:val="2"/>
      </w:numPr>
      <w:pBdr>
        <w:bottom w:val="single" w:color="auto" w:sz="12" w:space="4"/>
      </w:pBdr>
      <w:topLinePunct/>
      <w:adjustRightInd w:val="0"/>
      <w:snapToGrid w:val="0"/>
      <w:spacing w:before="80" w:after="80" w:line="240" w:lineRule="atLeast"/>
      <w:jc w:val="left"/>
    </w:pPr>
    <w:rPr>
      <w:rFonts w:hint="eastAsia" w:eastAsia="楷体_GB2312" w:cs="Arial"/>
      <w:iCs/>
      <w:szCs w:val="21"/>
    </w:rPr>
  </w:style>
  <w:style w:type="paragraph" w:customStyle="1" w:styleId="31">
    <w:name w:val="Sub Item Step in Table"/>
    <w:uiPriority w:val="0"/>
    <w:pPr>
      <w:numPr>
        <w:ilvl w:val="1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2">
    <w:name w:val="Sub Item List in Table"/>
    <w:basedOn w:val="1"/>
    <w:qFormat/>
    <w:uiPriority w:val="0"/>
    <w:pPr>
      <w:widowControl/>
      <w:numPr>
        <w:ilvl w:val="2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paragraph" w:customStyle="1" w:styleId="33">
    <w:name w:val="Sub Item Step in Table List"/>
    <w:qFormat/>
    <w:uiPriority w:val="0"/>
    <w:pPr>
      <w:numPr>
        <w:ilvl w:val="3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4">
    <w:name w:val="Item List in Table"/>
    <w:basedOn w:val="1"/>
    <w:qFormat/>
    <w:uiPriority w:val="99"/>
    <w:pPr>
      <w:widowControl/>
      <w:numPr>
        <w:ilvl w:val="0"/>
        <w:numId w:val="2"/>
      </w:numPr>
      <w:tabs>
        <w:tab w:val="left" w:pos="284"/>
      </w:tabs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kern w:val="0"/>
      <w:szCs w:val="21"/>
    </w:rPr>
  </w:style>
  <w:style w:type="paragraph" w:customStyle="1" w:styleId="35">
    <w:name w:val="Figure Description"/>
    <w:next w:val="1"/>
    <w:qFormat/>
    <w:uiPriority w:val="0"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ascii="Times New Roman" w:hAnsi="Times New Roman" w:eastAsia="黑体" w:cs="Arial"/>
      <w:spacing w:val="-4"/>
      <w:kern w:val="2"/>
      <w:sz w:val="21"/>
      <w:szCs w:val="21"/>
      <w:lang w:val="en-US" w:eastAsia="zh-CN" w:bidi="ar-SA"/>
    </w:rPr>
  </w:style>
  <w:style w:type="paragraph" w:customStyle="1" w:styleId="36">
    <w:name w:val="Notes Text Step"/>
    <w:basedOn w:val="30"/>
    <w:qFormat/>
    <w:uiPriority w:val="0"/>
    <w:pPr>
      <w:numPr>
        <w:ilvl w:val="6"/>
      </w:numPr>
      <w:pBdr>
        <w:bottom w:val="none" w:color="auto" w:sz="0" w:space="0"/>
      </w:pBdr>
      <w:spacing w:before="40" w:line="200" w:lineRule="atLeast"/>
    </w:pPr>
    <w:rPr>
      <w:sz w:val="18"/>
      <w:szCs w:val="18"/>
    </w:rPr>
  </w:style>
  <w:style w:type="paragraph" w:customStyle="1" w:styleId="37">
    <w:name w:val="Notes Text Step in Table"/>
    <w:qFormat/>
    <w:uiPriority w:val="0"/>
    <w:pPr>
      <w:numPr>
        <w:ilvl w:val="7"/>
        <w:numId w:val="2"/>
      </w:numPr>
      <w:spacing w:before="40" w:after="80" w:line="200" w:lineRule="atLeast"/>
    </w:pPr>
    <w:rPr>
      <w:rFonts w:ascii="Times New Roman" w:hAnsi="Times New Roman" w:eastAsia="楷体_GB2312" w:cs="楷体_GB2312"/>
      <w:sz w:val="18"/>
      <w:szCs w:val="18"/>
      <w:lang w:val="en-US" w:eastAsia="zh-CN" w:bidi="ar-SA"/>
    </w:rPr>
  </w:style>
  <w:style w:type="paragraph" w:customStyle="1" w:styleId="38">
    <w:name w:val="Sub Item List in Table Step"/>
    <w:basedOn w:val="1"/>
    <w:qFormat/>
    <w:uiPriority w:val="0"/>
    <w:pPr>
      <w:widowControl/>
      <w:numPr>
        <w:ilvl w:val="4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character" w:customStyle="1" w:styleId="39">
    <w:name w:val="批注框文本 Char"/>
    <w:basedOn w:val="14"/>
    <w:link w:val="10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1433</Words>
  <Characters>1650</Characters>
  <Lines>61</Lines>
  <Paragraphs>17</Paragraphs>
  <TotalTime>3</TotalTime>
  <ScaleCrop>false</ScaleCrop>
  <LinksUpToDate>false</LinksUpToDate>
  <CharactersWithSpaces>1712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Administrator</cp:lastModifiedBy>
  <cp:lastPrinted>2022-10-20T06:50:00Z</cp:lastPrinted>
  <dcterms:modified xsi:type="dcterms:W3CDTF">2023-05-29T06:47:43Z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B75484C30A0D48A998196F431A9A3E69</vt:lpwstr>
  </property>
</Properties>
</file>