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b/>
          <w:color w:val="000000"/>
          <w:sz w:val="30"/>
          <w:szCs w:val="30"/>
          <w:lang w:val="en-US" w:eastAsia="zh-CN"/>
        </w:rPr>
        <w:t>吕田、流溪河隧道提质升级工程机电系统硬件维护项目双电源切换柜开关采购意向征集公告</w:t>
      </w:r>
    </w:p>
    <w:p>
      <w:pPr>
        <w:numPr>
          <w:ilvl w:val="0"/>
          <w:numId w:val="3"/>
        </w:numPr>
        <w:topLinePunct/>
        <w:spacing w:line="360" w:lineRule="auto"/>
        <w:outlineLvl w:val="1"/>
        <w:rPr>
          <w:rFonts w:hint="default" w:ascii="Times New Roman" w:hAnsi="Times New Roman" w:eastAsia="宋体" w:cs="Times New Roman"/>
          <w:b/>
          <w:snapToGrid w:val="0"/>
          <w:kern w:val="0"/>
          <w:sz w:val="24"/>
          <w:szCs w:val="24"/>
        </w:rPr>
      </w:pPr>
      <w:r>
        <w:rPr>
          <w:rFonts w:hint="default" w:ascii="Times New Roman" w:hAnsi="Times New Roman" w:eastAsia="宋体" w:cs="Times New Roman"/>
          <w:b/>
          <w:snapToGrid w:val="0"/>
          <w:kern w:val="0"/>
          <w:sz w:val="24"/>
          <w:szCs w:val="24"/>
        </w:rPr>
        <w:t>项目概况</w:t>
      </w:r>
    </w:p>
    <w:p>
      <w:pPr>
        <w:wordWrap w:val="0"/>
        <w:topLinePunct/>
        <w:spacing w:line="360" w:lineRule="auto"/>
        <w:ind w:firstLine="566" w:firstLineChars="236"/>
        <w:rPr>
          <w:rFonts w:hint="default" w:ascii="Times New Roman" w:hAnsi="Times New Roman" w:eastAsia="宋体" w:cs="Times New Roman"/>
          <w:bCs/>
          <w:snapToGrid w:val="0"/>
          <w:kern w:val="0"/>
          <w:sz w:val="24"/>
          <w:szCs w:val="24"/>
        </w:rPr>
      </w:pPr>
      <w:r>
        <w:rPr>
          <w:rFonts w:hint="default" w:ascii="Times New Roman" w:hAnsi="Times New Roman" w:eastAsia="宋体" w:cs="Times New Roman"/>
          <w:bCs/>
          <w:snapToGrid w:val="0"/>
          <w:kern w:val="0"/>
          <w:sz w:val="24"/>
          <w:szCs w:val="24"/>
        </w:rPr>
        <w:t>1.1项目名称：</w:t>
      </w:r>
      <w:r>
        <w:rPr>
          <w:rFonts w:hint="default" w:ascii="Times New Roman" w:hAnsi="Times New Roman" w:eastAsia="宋体" w:cs="Times New Roman"/>
          <w:bCs/>
          <w:snapToGrid w:val="0"/>
          <w:kern w:val="0"/>
          <w:sz w:val="24"/>
          <w:szCs w:val="24"/>
          <w:lang w:val="en-US" w:eastAsia="zh-CN"/>
        </w:rPr>
        <w:t>吕田、流溪河隧道提质升级工程机电系统硬件维护项目</w:t>
      </w:r>
    </w:p>
    <w:p>
      <w:pPr>
        <w:wordWrap w:val="0"/>
        <w:topLinePunct/>
        <w:spacing w:line="360" w:lineRule="auto"/>
        <w:ind w:firstLine="566" w:firstLineChars="236"/>
        <w:rPr>
          <w:rFonts w:hint="default" w:ascii="Times New Roman" w:hAnsi="Times New Roman" w:eastAsia="宋体" w:cs="Times New Roman"/>
          <w:sz w:val="24"/>
          <w:szCs w:val="24"/>
        </w:rPr>
      </w:pPr>
      <w:r>
        <w:rPr>
          <w:rFonts w:hint="default" w:ascii="Times New Roman" w:hAnsi="Times New Roman" w:eastAsia="宋体" w:cs="Times New Roman"/>
          <w:bCs/>
          <w:snapToGrid w:val="0"/>
          <w:kern w:val="0"/>
          <w:sz w:val="24"/>
          <w:szCs w:val="24"/>
        </w:rPr>
        <w:t>1.2项目地点：广州市</w:t>
      </w:r>
    </w:p>
    <w:p>
      <w:pPr>
        <w:numPr>
          <w:ilvl w:val="0"/>
          <w:numId w:val="3"/>
        </w:numPr>
        <w:topLinePunct/>
        <w:spacing w:line="360" w:lineRule="auto"/>
        <w:outlineLvl w:val="1"/>
        <w:rPr>
          <w:rFonts w:hint="default" w:ascii="Times New Roman" w:hAnsi="Times New Roman" w:eastAsia="宋体" w:cs="Times New Roman"/>
          <w:b/>
          <w:sz w:val="24"/>
          <w:szCs w:val="24"/>
        </w:rPr>
      </w:pPr>
      <w:r>
        <w:rPr>
          <w:rFonts w:hint="default" w:ascii="Times New Roman" w:hAnsi="Times New Roman" w:eastAsia="宋体" w:cs="Times New Roman"/>
          <w:b/>
          <w:snapToGrid w:val="0"/>
          <w:kern w:val="0"/>
          <w:sz w:val="24"/>
          <w:szCs w:val="24"/>
        </w:rPr>
        <w:t>具体工程量清单</w:t>
      </w:r>
    </w:p>
    <w:tbl>
      <w:tblPr>
        <w:tblStyle w:val="13"/>
        <w:tblW w:w="7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734"/>
        <w:gridCol w:w="1916"/>
        <w:gridCol w:w="734"/>
        <w:gridCol w:w="85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94" w:type="dxa"/>
            <w:shd w:val="clear" w:color="auto" w:fill="auto"/>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734" w:type="dxa"/>
            <w:shd w:val="clear" w:color="auto" w:fill="auto"/>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材料名称</w:t>
            </w:r>
          </w:p>
        </w:tc>
        <w:tc>
          <w:tcPr>
            <w:tcW w:w="1916" w:type="dxa"/>
            <w:shd w:val="clear" w:color="auto" w:fill="auto"/>
            <w:vAlign w:val="center"/>
          </w:tcPr>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品牌</w:t>
            </w:r>
            <w:r>
              <w:rPr>
                <w:rFonts w:hint="default" w:ascii="Times New Roman" w:hAnsi="Times New Roman" w:eastAsia="宋体" w:cs="Times New Roman"/>
                <w:sz w:val="21"/>
                <w:szCs w:val="21"/>
                <w:lang w:val="en-US" w:eastAsia="zh-CN"/>
              </w:rPr>
              <w:t>型号</w:t>
            </w:r>
          </w:p>
        </w:tc>
        <w:tc>
          <w:tcPr>
            <w:tcW w:w="734" w:type="dxa"/>
            <w:shd w:val="clear" w:color="auto" w:fill="auto"/>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850" w:type="dxa"/>
            <w:shd w:val="clear" w:color="auto" w:fill="auto"/>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数量</w:t>
            </w:r>
          </w:p>
        </w:tc>
        <w:tc>
          <w:tcPr>
            <w:tcW w:w="1426" w:type="dxa"/>
            <w:shd w:val="clear" w:color="auto" w:fill="auto"/>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94"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1</w:t>
            </w:r>
          </w:p>
        </w:tc>
        <w:tc>
          <w:tcPr>
            <w:tcW w:w="1734"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双电源切换柜开关</w:t>
            </w:r>
          </w:p>
        </w:tc>
        <w:tc>
          <w:tcPr>
            <w:tcW w:w="1916"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施耐德</w:t>
            </w:r>
          </w:p>
        </w:tc>
        <w:tc>
          <w:tcPr>
            <w:tcW w:w="734"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套</w:t>
            </w:r>
          </w:p>
        </w:tc>
        <w:tc>
          <w:tcPr>
            <w:tcW w:w="850"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2</w:t>
            </w:r>
          </w:p>
        </w:tc>
        <w:tc>
          <w:tcPr>
            <w:tcW w:w="1426" w:type="dxa"/>
            <w:shd w:val="clear" w:color="auto" w:fill="auto"/>
            <w:vAlign w:val="center"/>
          </w:tcPr>
          <w:p>
            <w:pPr>
              <w:spacing w:beforeLines="50" w:afterLines="50" w:line="240" w:lineRule="auto"/>
              <w:jc w:val="center"/>
              <w:rPr>
                <w:rFonts w:hint="default" w:ascii="Times New Roman" w:hAnsi="Times New Roman" w:cs="Times New Roman" w:eastAsiaTheme="minorEastAsia"/>
                <w:sz w:val="18"/>
                <w:szCs w:val="18"/>
                <w:lang w:val="en-US" w:eastAsia="zh-CN"/>
              </w:rPr>
            </w:pPr>
          </w:p>
        </w:tc>
      </w:tr>
    </w:tbl>
    <w:p>
      <w:pPr>
        <w:wordWrap w:val="0"/>
        <w:topLinePunct/>
        <w:spacing w:line="360" w:lineRule="auto"/>
        <w:ind w:firstLine="566" w:firstLineChars="236"/>
        <w:rPr>
          <w:rFonts w:hint="default" w:ascii="Times New Roman" w:hAnsi="Times New Roman" w:eastAsia="宋体" w:cs="Times New Roman"/>
          <w:bCs/>
          <w:snapToGrid w:val="0"/>
          <w:kern w:val="0"/>
          <w:sz w:val="24"/>
          <w:szCs w:val="24"/>
        </w:rPr>
      </w:pPr>
      <w:r>
        <w:rPr>
          <w:rFonts w:hint="default" w:ascii="Times New Roman" w:hAnsi="Times New Roman" w:eastAsia="宋体" w:cs="Times New Roman"/>
          <w:bCs/>
          <w:snapToGrid w:val="0"/>
          <w:kern w:val="0"/>
          <w:sz w:val="24"/>
          <w:szCs w:val="24"/>
        </w:rPr>
        <w:t>清单说明：</w:t>
      </w:r>
    </w:p>
    <w:p>
      <w:pPr>
        <w:pStyle w:val="6"/>
        <w:numPr>
          <w:ilvl w:val="0"/>
          <w:numId w:val="4"/>
        </w:numPr>
        <w:ind w:firstLine="566" w:firstLineChars="236"/>
        <w:rPr>
          <w:rFonts w:hint="default" w:ascii="Times New Roman" w:hAnsi="Times New Roman" w:eastAsia="宋体" w:cs="Times New Roman"/>
          <w:bCs/>
          <w:snapToGrid w:val="0"/>
          <w:kern w:val="0"/>
          <w:sz w:val="24"/>
          <w:szCs w:val="24"/>
        </w:rPr>
      </w:pPr>
      <w:r>
        <w:rPr>
          <w:rFonts w:hint="default" w:ascii="Times New Roman" w:hAnsi="Times New Roman" w:eastAsia="宋体" w:cs="Times New Roman"/>
          <w:bCs/>
          <w:snapToGrid w:val="0"/>
          <w:kern w:val="0"/>
          <w:sz w:val="24"/>
          <w:szCs w:val="24"/>
        </w:rPr>
        <w:t>包括运输、</w:t>
      </w:r>
      <w:r>
        <w:rPr>
          <w:rFonts w:hint="default" w:ascii="Times New Roman" w:hAnsi="Times New Roman" w:eastAsia="宋体" w:cs="Times New Roman"/>
          <w:bCs/>
          <w:snapToGrid w:val="0"/>
          <w:kern w:val="0"/>
          <w:sz w:val="24"/>
          <w:szCs w:val="24"/>
          <w:lang w:val="en-US" w:eastAsia="zh-CN"/>
        </w:rPr>
        <w:t>安装</w:t>
      </w:r>
      <w:r>
        <w:rPr>
          <w:rFonts w:hint="eastAsia" w:cs="Times New Roman"/>
          <w:bCs/>
          <w:snapToGrid w:val="0"/>
          <w:kern w:val="0"/>
          <w:sz w:val="24"/>
          <w:szCs w:val="24"/>
          <w:lang w:val="en-US" w:eastAsia="zh-CN"/>
        </w:rPr>
        <w:t>费、</w:t>
      </w:r>
      <w:r>
        <w:rPr>
          <w:rFonts w:hint="default" w:ascii="Times New Roman" w:hAnsi="Times New Roman" w:eastAsia="宋体" w:cs="Times New Roman"/>
          <w:bCs/>
          <w:snapToGrid w:val="0"/>
          <w:kern w:val="0"/>
          <w:sz w:val="24"/>
          <w:szCs w:val="24"/>
          <w:lang w:val="en-US" w:eastAsia="zh-CN"/>
        </w:rPr>
        <w:t>调试费、</w:t>
      </w:r>
      <w:r>
        <w:rPr>
          <w:rFonts w:hint="default" w:ascii="Times New Roman" w:hAnsi="Times New Roman" w:eastAsia="宋体" w:cs="Times New Roman"/>
          <w:bCs/>
          <w:snapToGrid w:val="0"/>
          <w:kern w:val="0"/>
          <w:sz w:val="24"/>
          <w:szCs w:val="24"/>
        </w:rPr>
        <w:t>保险费、税费、试运行及缺陷的维护等一切费用；</w:t>
      </w:r>
    </w:p>
    <w:p>
      <w:pPr>
        <w:pStyle w:val="6"/>
        <w:numPr>
          <w:ilvl w:val="0"/>
          <w:numId w:val="4"/>
        </w:numPr>
        <w:ind w:firstLine="566" w:firstLineChars="236"/>
        <w:rPr>
          <w:rFonts w:hint="default" w:ascii="Times New Roman" w:hAnsi="Times New Roman" w:eastAsia="宋体" w:cs="Times New Roman"/>
          <w:bCs/>
          <w:snapToGrid w:val="0"/>
          <w:kern w:val="0"/>
          <w:sz w:val="24"/>
          <w:szCs w:val="24"/>
        </w:rPr>
      </w:pPr>
      <w:r>
        <w:rPr>
          <w:rFonts w:hint="default" w:ascii="Times New Roman" w:hAnsi="Times New Roman" w:eastAsia="宋体" w:cs="Times New Roman"/>
          <w:bCs/>
          <w:snapToGrid w:val="0"/>
          <w:kern w:val="0"/>
          <w:sz w:val="24"/>
          <w:szCs w:val="24"/>
        </w:rPr>
        <w:t>最高限价：</w:t>
      </w:r>
      <w:r>
        <w:rPr>
          <w:rFonts w:hint="eastAsia" w:cs="Times New Roman"/>
          <w:bCs/>
          <w:snapToGrid w:val="0"/>
          <w:kern w:val="0"/>
          <w:sz w:val="24"/>
          <w:szCs w:val="24"/>
          <w:lang w:val="en-US" w:eastAsia="zh-CN"/>
        </w:rPr>
        <w:t>17200.00</w:t>
      </w:r>
      <w:r>
        <w:rPr>
          <w:rFonts w:hint="default" w:ascii="Times New Roman" w:hAnsi="Times New Roman" w:eastAsia="宋体" w:cs="Times New Roman"/>
          <w:bCs/>
          <w:snapToGrid w:val="0"/>
          <w:kern w:val="0"/>
          <w:sz w:val="24"/>
          <w:szCs w:val="24"/>
        </w:rPr>
        <w:t>元。</w:t>
      </w:r>
    </w:p>
    <w:p>
      <w:pPr>
        <w:numPr>
          <w:ilvl w:val="0"/>
          <w:numId w:val="3"/>
        </w:numPr>
        <w:topLinePunct/>
        <w:spacing w:line="360" w:lineRule="auto"/>
        <w:outlineLvl w:val="1"/>
        <w:rPr>
          <w:rFonts w:hint="default" w:ascii="Times New Roman" w:hAnsi="Times New Roman" w:eastAsia="宋体" w:cs="Times New Roman"/>
          <w:b/>
          <w:snapToGrid w:val="0"/>
          <w:kern w:val="0"/>
          <w:sz w:val="24"/>
          <w:szCs w:val="24"/>
        </w:rPr>
      </w:pPr>
      <w:r>
        <w:rPr>
          <w:rFonts w:hint="eastAsia" w:cs="Times New Roman"/>
          <w:b/>
          <w:snapToGrid w:val="0"/>
          <w:kern w:val="0"/>
          <w:sz w:val="24"/>
          <w:szCs w:val="24"/>
          <w:lang w:val="en-US" w:eastAsia="zh-CN"/>
        </w:rPr>
        <w:t>技术参数</w:t>
      </w:r>
    </w:p>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NSX160N TMD 100 ：</w:t>
      </w:r>
    </w:p>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4P4D P 新产品+MN欠压 AC220-240V/208-277V+通用型电操MT AC/DC110-230V </w:t>
      </w: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052"/>
        <w:gridCol w:w="4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产品特性：断路器</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品牌Schneider/施耐德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型号：NSX160N TMD 100 3P3D F+MCH/AC380V</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壳架电流：16-630A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分断能力：E25/M35KA</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极数：3P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额定电流：16-630A</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安装方式：顶端接线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漏电动作电流：12-48</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漏电动作时间：1秒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额定工作电压：380V</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机械寿命：12000万次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电气寿命12000万次</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外形尺寸120*108*98mm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052"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脱扣器额定电流：16-100A</w:t>
            </w:r>
          </w:p>
        </w:tc>
        <w:tc>
          <w:tcPr>
            <w:tcW w:w="4254" w:type="dxa"/>
            <w:tcBorders>
              <w:top w:val="nil"/>
              <w:left w:val="nil"/>
              <w:bottom w:val="nil"/>
              <w:right w:val="nil"/>
            </w:tcBorders>
            <w:shd w:val="clear" w:color="auto" w:fill="FFFFFF"/>
            <w:noWrap w:val="0"/>
            <w:tcMar>
              <w:bottom w:w="150" w:type="dxa"/>
            </w:tcMar>
            <w:vAlign w:val="top"/>
          </w:tcPr>
          <w:p>
            <w:pPr>
              <w:keepNext w:val="0"/>
              <w:keepLines w:val="0"/>
              <w:widowControl/>
              <w:suppressLineNumbers w:val="0"/>
              <w:spacing w:before="0" w:beforeAutospacing="0" w:after="0" w:afterAutospacing="0" w:line="360" w:lineRule="atLeast"/>
              <w:ind w:left="0" w:right="0"/>
              <w:jc w:val="left"/>
              <w:textAlignment w:val="top"/>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额定绝缘电压：380V</w:t>
            </w:r>
          </w:p>
        </w:tc>
      </w:tr>
    </w:tbl>
    <w:p>
      <w:pPr>
        <w:rPr>
          <w:rFonts w:hint="default" w:ascii="Times New Roman" w:hAnsi="Times New Roman" w:eastAsia="宋体" w:cs="Times New Roman"/>
          <w:kern w:val="2"/>
          <w:sz w:val="24"/>
          <w:szCs w:val="24"/>
          <w:lang w:val="en-US" w:eastAsia="zh-CN" w:bidi="ar-SA"/>
        </w:rPr>
      </w:pPr>
    </w:p>
    <w:p>
      <w:pPr>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NSX400N MIC2.3 250 ：</w:t>
      </w:r>
    </w:p>
    <w:p>
      <w:pPr>
        <w:spacing w:line="240" w:lineRule="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4P P 新产品+MN欠压 AC220-240V/208-277V+通用型电操MT AC/DC110-230V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壳架电流：400（A）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分断能力：50KA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极数：4P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额定电流：250A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脱扣器型号：MIC2.3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安装方式：底板安装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保护用途：配电保护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额定工作电压：690V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机械寿命：15000次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电气寿命：3000次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外形尺寸：140*225*110（mm）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脱扣型式：电子脱扣器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脱扣器额定电流：250A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用途：漏电保护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额定绝缘电压：800V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灭弧介质：空气式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保护类型：过载、短路保护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 w:right="0"/>
        <w:jc w:val="left"/>
        <w:rPr>
          <w:rFonts w:hint="default" w:ascii="Times New Roman" w:hAnsi="Times New Roman" w:eastAsia="宋体" w:cs="Times New Roman"/>
          <w:b/>
          <w:snapToGrid w:val="0"/>
          <w:kern w:val="0"/>
          <w:sz w:val="24"/>
          <w:szCs w:val="24"/>
        </w:rPr>
      </w:pPr>
      <w:r>
        <w:rPr>
          <w:rFonts w:hint="eastAsia" w:ascii="Times New Roman" w:hAnsi="Times New Roman" w:eastAsia="宋体" w:cs="Times New Roman"/>
          <w:kern w:val="2"/>
          <w:sz w:val="24"/>
          <w:szCs w:val="24"/>
          <w:lang w:val="en-US" w:eastAsia="zh-CN" w:bidi="ar-SA"/>
        </w:rPr>
        <w:t>·  脱扣方式：过电流脱扣器</w:t>
      </w:r>
    </w:p>
    <w:p>
      <w:pPr>
        <w:numPr>
          <w:ilvl w:val="0"/>
          <w:numId w:val="3"/>
        </w:numPr>
        <w:topLinePunct/>
        <w:spacing w:line="360" w:lineRule="auto"/>
        <w:outlineLvl w:val="1"/>
        <w:rPr>
          <w:rFonts w:hint="default" w:ascii="Times New Roman" w:hAnsi="Times New Roman" w:eastAsia="宋体" w:cs="Times New Roman"/>
          <w:b/>
          <w:snapToGrid w:val="0"/>
          <w:kern w:val="0"/>
          <w:sz w:val="24"/>
          <w:szCs w:val="24"/>
        </w:rPr>
      </w:pPr>
      <w:r>
        <w:rPr>
          <w:rFonts w:hint="default" w:ascii="Times New Roman" w:hAnsi="Times New Roman" w:eastAsia="宋体" w:cs="Times New Roman"/>
          <w:b/>
          <w:snapToGrid w:val="0"/>
          <w:kern w:val="0"/>
          <w:sz w:val="24"/>
          <w:szCs w:val="24"/>
        </w:rPr>
        <w:t>供应商资格条件</w:t>
      </w:r>
    </w:p>
    <w:p>
      <w:pPr>
        <w:pStyle w:val="6"/>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信用信誉良好，所供设备符合本工程量清单设备技术要求。</w:t>
      </w:r>
    </w:p>
    <w:p>
      <w:pPr>
        <w:numPr>
          <w:ilvl w:val="0"/>
          <w:numId w:val="3"/>
        </w:numPr>
        <w:topLinePunct/>
        <w:spacing w:line="360" w:lineRule="auto"/>
        <w:outlineLvl w:val="1"/>
        <w:rPr>
          <w:rFonts w:hint="default" w:ascii="Times New Roman" w:hAnsi="Times New Roman" w:eastAsia="宋体" w:cs="Times New Roman"/>
          <w:b/>
          <w:snapToGrid w:val="0"/>
          <w:kern w:val="0"/>
          <w:sz w:val="24"/>
          <w:szCs w:val="24"/>
        </w:rPr>
      </w:pPr>
      <w:r>
        <w:rPr>
          <w:rFonts w:hint="default" w:ascii="Times New Roman" w:hAnsi="Times New Roman" w:eastAsia="宋体" w:cs="Times New Roman"/>
          <w:b/>
          <w:snapToGrid w:val="0"/>
          <w:kern w:val="0"/>
          <w:sz w:val="24"/>
          <w:szCs w:val="24"/>
        </w:rPr>
        <w:t>响应回执的递交</w:t>
      </w:r>
    </w:p>
    <w:p>
      <w:pPr>
        <w:spacing w:line="360" w:lineRule="auto"/>
        <w:ind w:firstLine="480" w:firstLineChars="200"/>
        <w:rPr>
          <w:rFonts w:hint="default" w:ascii="Times New Roman" w:hAnsi="Times New Roman" w:eastAsia="宋体" w:cs="Times New Roman"/>
          <w:snapToGrid w:val="0"/>
          <w:color w:val="000000"/>
          <w:kern w:val="0"/>
          <w:sz w:val="24"/>
          <w:szCs w:val="24"/>
        </w:rPr>
      </w:pPr>
      <w:r>
        <w:rPr>
          <w:rFonts w:hint="default" w:ascii="Times New Roman" w:hAnsi="Times New Roman" w:eastAsia="宋体" w:cs="Times New Roman"/>
          <w:sz w:val="24"/>
          <w:szCs w:val="24"/>
        </w:rPr>
        <w:t>凡有意参加本次采购且具备履行本项目能力的供应商，请</w:t>
      </w:r>
      <w:r>
        <w:rPr>
          <w:rFonts w:hint="default" w:ascii="Times New Roman" w:hAnsi="Times New Roman" w:eastAsia="宋体" w:cs="Times New Roman"/>
          <w:color w:val="000000"/>
          <w:sz w:val="24"/>
          <w:szCs w:val="24"/>
        </w:rPr>
        <w:t>将附于本公告后的</w:t>
      </w:r>
      <w:r>
        <w:rPr>
          <w:rFonts w:hint="default" w:ascii="Times New Roman" w:hAnsi="Times New Roman" w:eastAsia="宋体" w:cs="Times New Roman"/>
          <w:color w:val="FF0000"/>
          <w:sz w:val="24"/>
          <w:szCs w:val="24"/>
        </w:rPr>
        <w:t>响应回执</w:t>
      </w:r>
      <w:r>
        <w:rPr>
          <w:rFonts w:hint="default" w:ascii="Times New Roman" w:hAnsi="Times New Roman" w:eastAsia="宋体" w:cs="Times New Roman"/>
          <w:color w:val="FF0000"/>
          <w:sz w:val="24"/>
          <w:szCs w:val="24"/>
          <w:lang w:val="en-US" w:eastAsia="zh-CN"/>
        </w:rPr>
        <w:t>及营业执照盖章件</w:t>
      </w:r>
      <w:r>
        <w:rPr>
          <w:rFonts w:hint="default" w:ascii="Times New Roman" w:hAnsi="Times New Roman" w:eastAsia="宋体" w:cs="Times New Roman"/>
          <w:color w:val="000000"/>
          <w:sz w:val="24"/>
          <w:szCs w:val="24"/>
        </w:rPr>
        <w:t>在</w:t>
      </w:r>
      <w:r>
        <w:rPr>
          <w:rFonts w:hint="default" w:ascii="Times New Roman" w:hAnsi="Times New Roman" w:eastAsia="宋体" w:cs="Times New Roman"/>
          <w:color w:val="000000"/>
          <w:sz w:val="24"/>
          <w:szCs w:val="24"/>
          <w:u w:val="single"/>
        </w:rPr>
        <w:t>202</w:t>
      </w:r>
      <w:r>
        <w:rPr>
          <w:rFonts w:hint="default" w:ascii="Times New Roman" w:hAnsi="Times New Roman" w:eastAsia="宋体" w:cs="Times New Roman"/>
          <w:color w:val="000000"/>
          <w:sz w:val="24"/>
          <w:szCs w:val="24"/>
          <w:u w:val="single"/>
          <w:lang w:val="en-US" w:eastAsia="zh-CN"/>
        </w:rPr>
        <w:t>4</w:t>
      </w:r>
      <w:r>
        <w:rPr>
          <w:rFonts w:hint="default" w:ascii="Times New Roman" w:hAnsi="Times New Roman" w:eastAsia="宋体" w:cs="Times New Roman"/>
          <w:color w:val="000000"/>
          <w:sz w:val="24"/>
          <w:szCs w:val="24"/>
          <w:u w:val="single"/>
        </w:rPr>
        <w:t>年</w:t>
      </w:r>
      <w:r>
        <w:rPr>
          <w:rFonts w:hint="eastAsia" w:cs="Times New Roman"/>
          <w:color w:val="000000"/>
          <w:sz w:val="24"/>
          <w:szCs w:val="24"/>
          <w:u w:val="single"/>
          <w:lang w:val="en-US" w:eastAsia="zh-CN"/>
        </w:rPr>
        <w:t>6</w:t>
      </w:r>
      <w:r>
        <w:rPr>
          <w:rFonts w:hint="default" w:ascii="Times New Roman" w:hAnsi="Times New Roman" w:eastAsia="宋体" w:cs="Times New Roman"/>
          <w:color w:val="000000"/>
          <w:sz w:val="24"/>
          <w:szCs w:val="24"/>
          <w:u w:val="single"/>
        </w:rPr>
        <w:t>月</w:t>
      </w:r>
      <w:r>
        <w:rPr>
          <w:rFonts w:hint="eastAsia" w:cs="Times New Roman"/>
          <w:color w:val="000000"/>
          <w:sz w:val="24"/>
          <w:szCs w:val="24"/>
          <w:u w:val="single"/>
          <w:lang w:val="en-US" w:eastAsia="zh-CN"/>
        </w:rPr>
        <w:t>2</w:t>
      </w:r>
      <w:r>
        <w:rPr>
          <w:rFonts w:hint="default" w:ascii="Times New Roman" w:hAnsi="Times New Roman" w:eastAsia="宋体" w:cs="Times New Roman"/>
          <w:color w:val="000000"/>
          <w:sz w:val="24"/>
          <w:szCs w:val="24"/>
          <w:u w:val="single"/>
        </w:rPr>
        <w:t>日</w:t>
      </w:r>
      <w:r>
        <w:rPr>
          <w:rFonts w:hint="default" w:ascii="Times New Roman" w:hAnsi="Times New Roman" w:eastAsia="宋体" w:cs="Times New Roman"/>
          <w:color w:val="000000"/>
          <w:sz w:val="24"/>
          <w:szCs w:val="24"/>
          <w:u w:val="single"/>
          <w:lang w:val="en-US" w:eastAsia="zh-CN"/>
        </w:rPr>
        <w:t>1</w:t>
      </w:r>
      <w:r>
        <w:rPr>
          <w:rFonts w:hint="default" w:ascii="Times New Roman" w:hAnsi="Times New Roman" w:cs="Times New Roman"/>
          <w:color w:val="000000"/>
          <w:sz w:val="24"/>
          <w:szCs w:val="24"/>
          <w:u w:val="single"/>
          <w:lang w:val="en-US" w:eastAsia="zh-CN"/>
        </w:rPr>
        <w:t>7</w:t>
      </w:r>
      <w:r>
        <w:rPr>
          <w:rFonts w:hint="default" w:ascii="Times New Roman" w:hAnsi="Times New Roman" w:eastAsia="宋体" w:cs="Times New Roman"/>
          <w:color w:val="000000"/>
          <w:sz w:val="24"/>
          <w:szCs w:val="24"/>
          <w:u w:val="single"/>
        </w:rPr>
        <w:t>：00</w:t>
      </w:r>
      <w:r>
        <w:rPr>
          <w:rFonts w:hint="default" w:ascii="Times New Roman" w:hAnsi="Times New Roman" w:eastAsia="宋体" w:cs="Times New Roman"/>
          <w:color w:val="000000"/>
          <w:sz w:val="24"/>
          <w:szCs w:val="24"/>
        </w:rPr>
        <w:t>之前发送至采购人邮箱：</w:t>
      </w:r>
      <w:r>
        <w:rPr>
          <w:rFonts w:hint="default" w:ascii="Times New Roman" w:hAnsi="Times New Roman" w:eastAsia="宋体" w:cs="Times New Roman"/>
          <w:color w:val="000000"/>
          <w:sz w:val="24"/>
          <w:szCs w:val="24"/>
          <w:lang w:val="en-US" w:eastAsia="zh-CN"/>
        </w:rPr>
        <w:t>1204355776@qq.com</w:t>
      </w:r>
      <w:r>
        <w:rPr>
          <w:rFonts w:hint="default" w:ascii="Times New Roman" w:hAnsi="Times New Roman" w:eastAsia="宋体" w:cs="Times New Roman"/>
          <w:snapToGrid w:val="0"/>
          <w:color w:val="000000"/>
          <w:kern w:val="0"/>
          <w:sz w:val="24"/>
          <w:szCs w:val="24"/>
        </w:rPr>
        <w:t>，逾期无效。采购人在收到响应回执后根据供应商信用信誉等情况进行讨论提议，不再另行发布采购公告。</w:t>
      </w:r>
    </w:p>
    <w:p>
      <w:pPr>
        <w:numPr>
          <w:ilvl w:val="0"/>
          <w:numId w:val="3"/>
        </w:numPr>
        <w:topLinePunct/>
        <w:spacing w:line="360" w:lineRule="auto"/>
        <w:outlineLvl w:val="1"/>
        <w:rPr>
          <w:rFonts w:hint="default" w:ascii="Times New Roman" w:hAnsi="Times New Roman" w:eastAsia="宋体" w:cs="Times New Roman"/>
          <w:b/>
          <w:snapToGrid w:val="0"/>
          <w:kern w:val="0"/>
          <w:sz w:val="24"/>
          <w:szCs w:val="24"/>
        </w:rPr>
      </w:pPr>
      <w:bookmarkStart w:id="0" w:name="_Toc332793891"/>
      <w:bookmarkStart w:id="1" w:name="_Toc332965960"/>
      <w:bookmarkStart w:id="2" w:name="_Toc332793818"/>
      <w:r>
        <w:rPr>
          <w:rFonts w:hint="default" w:ascii="Times New Roman" w:hAnsi="Times New Roman" w:eastAsia="宋体" w:cs="Times New Roman"/>
          <w:b/>
          <w:snapToGrid w:val="0"/>
          <w:kern w:val="0"/>
          <w:sz w:val="24"/>
          <w:szCs w:val="24"/>
        </w:rPr>
        <w:t>联系方式</w:t>
      </w:r>
      <w:bookmarkEnd w:id="0"/>
      <w:bookmarkEnd w:id="1"/>
      <w:bookmarkEnd w:id="2"/>
    </w:p>
    <w:p>
      <w:pPr>
        <w:topLinePunct/>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采购人：广东诚泰交通科技发展有限公司</w:t>
      </w:r>
    </w:p>
    <w:p>
      <w:pPr>
        <w:topLinePunct/>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采购人地址：广州市番禺区洛浦街道北环路87号道</w:t>
      </w:r>
      <w:bookmarkStart w:id="3" w:name="_GoBack"/>
      <w:bookmarkEnd w:id="3"/>
      <w:r>
        <w:rPr>
          <w:rFonts w:hint="default" w:ascii="Times New Roman" w:hAnsi="Times New Roman" w:eastAsia="宋体" w:cs="Times New Roman"/>
          <w:color w:val="000000"/>
          <w:sz w:val="24"/>
          <w:szCs w:val="24"/>
        </w:rPr>
        <w:t>路研究院</w:t>
      </w:r>
      <w:r>
        <w:rPr>
          <w:rFonts w:hint="default" w:ascii="Times New Roman" w:hAnsi="Times New Roman" w:eastAsia="宋体" w:cs="Times New Roman"/>
          <w:color w:val="000000"/>
          <w:sz w:val="24"/>
          <w:szCs w:val="24"/>
          <w:lang w:val="en-US" w:eastAsia="zh-CN"/>
        </w:rPr>
        <w:t>有限公司</w:t>
      </w:r>
      <w:r>
        <w:rPr>
          <w:rFonts w:hint="default" w:ascii="Times New Roman" w:hAnsi="Times New Roman" w:eastAsia="宋体" w:cs="Times New Roman"/>
          <w:color w:val="000000"/>
          <w:sz w:val="24"/>
          <w:szCs w:val="24"/>
        </w:rPr>
        <w:t>二号楼</w:t>
      </w:r>
    </w:p>
    <w:p>
      <w:pPr>
        <w:topLinePunct/>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联  系  人：</w:t>
      </w:r>
      <w:r>
        <w:rPr>
          <w:rFonts w:hint="default" w:ascii="Times New Roman" w:hAnsi="Times New Roman" w:eastAsia="宋体" w:cs="Times New Roman"/>
          <w:color w:val="000000"/>
          <w:sz w:val="24"/>
          <w:szCs w:val="24"/>
          <w:lang w:val="en-US" w:eastAsia="zh-CN"/>
        </w:rPr>
        <w:t>刘</w:t>
      </w:r>
      <w:r>
        <w:rPr>
          <w:rFonts w:hint="default" w:ascii="Times New Roman" w:hAnsi="Times New Roman" w:eastAsia="宋体" w:cs="Times New Roman"/>
          <w:color w:val="000000"/>
          <w:sz w:val="24"/>
          <w:szCs w:val="24"/>
        </w:rPr>
        <w:t>工</w:t>
      </w:r>
    </w:p>
    <w:p>
      <w:pPr>
        <w:topLinePunct/>
        <w:spacing w:line="360" w:lineRule="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电      话：020-3918</w:t>
      </w:r>
      <w:r>
        <w:rPr>
          <w:rFonts w:hint="default" w:ascii="Times New Roman" w:hAnsi="Times New Roman" w:eastAsia="宋体" w:cs="Times New Roman"/>
          <w:color w:val="000000"/>
          <w:sz w:val="24"/>
          <w:szCs w:val="24"/>
          <w:lang w:val="en-US" w:eastAsia="zh-CN"/>
        </w:rPr>
        <w:t>5344</w:t>
      </w:r>
    </w:p>
    <w:p>
      <w:pPr>
        <w:topLinePunct/>
        <w:spacing w:line="360" w:lineRule="auto"/>
        <w:jc w:val="righ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广东诚泰交通科技发展有限公司</w:t>
      </w:r>
    </w:p>
    <w:p>
      <w:pPr>
        <w:topLinePunct/>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 xml:space="preserve">                                              202</w:t>
      </w: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年</w:t>
      </w:r>
      <w:r>
        <w:rPr>
          <w:rFonts w:hint="eastAsia" w:cs="Times New Roman"/>
          <w:color w:val="000000"/>
          <w:sz w:val="24"/>
          <w:szCs w:val="24"/>
          <w:lang w:val="en-US" w:eastAsia="zh-CN"/>
        </w:rPr>
        <w:t>5</w:t>
      </w:r>
      <w:r>
        <w:rPr>
          <w:rFonts w:hint="default" w:ascii="Times New Roman" w:hAnsi="Times New Roman" w:eastAsia="宋体" w:cs="Times New Roman"/>
          <w:color w:val="000000"/>
          <w:sz w:val="24"/>
          <w:szCs w:val="24"/>
        </w:rPr>
        <w:t>月</w:t>
      </w:r>
      <w:r>
        <w:rPr>
          <w:rFonts w:hint="eastAsia" w:cs="Times New Roman"/>
          <w:color w:val="000000"/>
          <w:sz w:val="24"/>
          <w:szCs w:val="24"/>
          <w:lang w:val="en-US" w:eastAsia="zh-CN"/>
        </w:rPr>
        <w:t>31</w:t>
      </w:r>
      <w:r>
        <w:rPr>
          <w:rFonts w:hint="default" w:ascii="Times New Roman" w:hAnsi="Times New Roman" w:eastAsia="宋体" w:cs="Times New Roman"/>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739B"/>
    <w:multiLevelType w:val="singleLevel"/>
    <w:tmpl w:val="AAEB739B"/>
    <w:lvl w:ilvl="0" w:tentative="0">
      <w:start w:val="1"/>
      <w:numFmt w:val="decimal"/>
      <w:lvlText w:val="%1."/>
      <w:lvlJc w:val="left"/>
      <w:pPr>
        <w:tabs>
          <w:tab w:val="left" w:pos="312"/>
        </w:tabs>
      </w:pPr>
    </w:lvl>
  </w:abstractNum>
  <w:abstractNum w:abstractNumId="1">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pStyle w:val="2"/>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pStyle w:val="3"/>
      <w:suff w:val="nothing"/>
      <w:lvlText w:val="%1.%2.%3 "/>
      <w:lvlJc w:val="left"/>
      <w:pPr>
        <w:ind w:left="142" w:firstLine="0"/>
      </w:pPr>
    </w:lvl>
    <w:lvl w:ilvl="3" w:tentative="0">
      <w:start w:val="1"/>
      <w:numFmt w:val="decimal"/>
      <w:lvlRestart w:val="1"/>
      <w:pStyle w:val="4"/>
      <w:suff w:val="nothing"/>
      <w:lvlText w:val="%1.%2.%3.%4 "/>
      <w:lvlJc w:val="left"/>
      <w:pPr>
        <w:ind w:left="0"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lvlRestart w:val="1"/>
      <w:pStyle w:val="5"/>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none"/>
      <w:pStyle w:val="25"/>
      <w:suff w:val="nothing"/>
      <w:lvlText w:val=""/>
      <w:lvlJc w:val="left"/>
      <w:pPr>
        <w:ind w:left="0" w:firstLine="0"/>
      </w:pPr>
      <w:rPr>
        <w:rFonts w:hint="default" w:ascii="Arial" w:hAnsi="Arial" w:cs="Arial"/>
        <w:b/>
        <w:bCs/>
        <w:i w:val="0"/>
        <w:iCs w:val="0"/>
        <w:caps w:val="0"/>
        <w:strike w:val="0"/>
        <w:dstrike w:val="0"/>
        <w:vanish w:val="0"/>
        <w:color w:val="000000"/>
        <w:sz w:val="20"/>
        <w:szCs w:val="20"/>
        <w:vertAlign w:val="baseline"/>
      </w:rPr>
    </w:lvl>
    <w:lvl w:ilvl="6" w:tentative="0">
      <w:start w:val="1"/>
      <w:numFmt w:val="decimal"/>
      <w:pStyle w:val="29"/>
      <w:lvlText w:val="步骤 %7"/>
      <w:lvlJc w:val="right"/>
      <w:pPr>
        <w:tabs>
          <w:tab w:val="left" w:pos="1701"/>
        </w:tabs>
        <w:ind w:left="1701" w:hanging="159"/>
      </w:pPr>
      <w:rPr>
        <w:rFonts w:hint="default" w:ascii="Book Antiqua" w:hAnsi="Book Antiqua" w:eastAsia="黑体" w:cs="Times New Roman"/>
        <w:b w:val="0"/>
        <w:bCs/>
        <w:i w:val="0"/>
        <w:iCs w:val="0"/>
        <w:color w:val="auto"/>
        <w:sz w:val="21"/>
        <w:szCs w:val="21"/>
      </w:rPr>
    </w:lvl>
    <w:lvl w:ilvl="7" w:tentative="0">
      <w:start w:val="1"/>
      <w:numFmt w:val="decimal"/>
      <w:lvlRestart w:val="1"/>
      <w:pStyle w:val="35"/>
      <w:suff w:val="space"/>
      <w:lvlText w:val="图%1-%8"/>
      <w:lvlJc w:val="left"/>
      <w:pPr>
        <w:ind w:left="1701" w:firstLine="0"/>
      </w:pPr>
      <w:rPr>
        <w:rFonts w:hint="default" w:ascii="Times New Roman" w:hAnsi="Times New Roman" w:eastAsia="黑体" w:cs="Book Antiqua"/>
        <w:b w:val="0"/>
        <w:bCs/>
        <w:i w:val="0"/>
        <w:iCs w:val="0"/>
        <w:strike w:val="0"/>
        <w:dstrike w:val="0"/>
        <w:color w:val="000000"/>
        <w:sz w:val="21"/>
        <w:szCs w:val="21"/>
        <w:vertAlign w:val="baseline"/>
      </w:rPr>
    </w:lvl>
    <w:lvl w:ilvl="8" w:tentative="0">
      <w:start w:val="1"/>
      <w:numFmt w:val="decimal"/>
      <w:lvlRestart w:val="1"/>
      <w:pStyle w:val="26"/>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2">
    <w:nsid w:val="69E52367"/>
    <w:multiLevelType w:val="singleLevel"/>
    <w:tmpl w:val="69E52367"/>
    <w:lvl w:ilvl="0" w:tentative="0">
      <w:start w:val="1"/>
      <w:numFmt w:val="decimal"/>
      <w:suff w:val="nothing"/>
      <w:lvlText w:val="（%1）"/>
      <w:lvlJc w:val="left"/>
    </w:lvl>
  </w:abstractNum>
  <w:abstractNum w:abstractNumId="3">
    <w:nsid w:val="6E230785"/>
    <w:multiLevelType w:val="multilevel"/>
    <w:tmpl w:val="6E230785"/>
    <w:lvl w:ilvl="0" w:tentative="0">
      <w:start w:val="1"/>
      <w:numFmt w:val="bullet"/>
      <w:pStyle w:val="34"/>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lowerLetter"/>
      <w:pStyle w:val="31"/>
      <w:lvlText w:val="%2."/>
      <w:lvlJc w:val="left"/>
      <w:pPr>
        <w:tabs>
          <w:tab w:val="left" w:pos="284"/>
        </w:tabs>
        <w:ind w:left="568" w:hanging="284"/>
      </w:pPr>
      <w:rPr>
        <w:rFonts w:hint="default" w:ascii="Times New Roman" w:hAnsi="Times New Roman" w:cs="Book Antiqua"/>
        <w:b w:val="0"/>
        <w:bCs/>
        <w:i w:val="0"/>
        <w:iCs w:val="0"/>
        <w:sz w:val="21"/>
        <w:szCs w:val="21"/>
        <w:u w:val="none"/>
      </w:rPr>
    </w:lvl>
    <w:lvl w:ilvl="2" w:tentative="0">
      <w:start w:val="1"/>
      <w:numFmt w:val="bullet"/>
      <w:pStyle w:val="32"/>
      <w:lvlText w:val="−"/>
      <w:lvlJc w:val="left"/>
      <w:pPr>
        <w:tabs>
          <w:tab w:val="left" w:pos="568"/>
        </w:tabs>
        <w:ind w:left="568" w:hanging="284"/>
      </w:pPr>
      <w:rPr>
        <w:rFonts w:hint="default" w:ascii="Times New Roman" w:hAnsi="Times New Roman" w:cs="Times New Roman"/>
        <w:sz w:val="16"/>
        <w:szCs w:val="16"/>
      </w:rPr>
    </w:lvl>
    <w:lvl w:ilvl="3" w:tentative="0">
      <w:start w:val="1"/>
      <w:numFmt w:val="decimal"/>
      <w:pStyle w:val="33"/>
      <w:lvlText w:val="%4."/>
      <w:lvlJc w:val="left"/>
      <w:pPr>
        <w:tabs>
          <w:tab w:val="left" w:pos="284"/>
        </w:tabs>
        <w:ind w:left="568" w:hanging="284"/>
      </w:pPr>
      <w:rPr>
        <w:rFonts w:hint="default" w:ascii="Times New Roman" w:hAnsi="Times New Roman" w:cs="Book Antiqua"/>
        <w:b w:val="0"/>
        <w:bCs/>
        <w:i w:val="0"/>
        <w:iCs w:val="0"/>
        <w:sz w:val="21"/>
        <w:szCs w:val="21"/>
        <w:u w:val="none"/>
      </w:rPr>
    </w:lvl>
    <w:lvl w:ilvl="4" w:tentative="0">
      <w:start w:val="1"/>
      <w:numFmt w:val="bullet"/>
      <w:pStyle w:val="38"/>
      <w:lvlText w:val=""/>
      <w:lvlJc w:val="left"/>
      <w:pPr>
        <w:tabs>
          <w:tab w:val="left" w:pos="568"/>
        </w:tabs>
        <w:ind w:left="568" w:hanging="284"/>
      </w:pPr>
      <w:rPr>
        <w:rFonts w:hint="default" w:ascii="Wingdings" w:hAnsi="Wingdings" w:eastAsia="宋体"/>
        <w:b w:val="0"/>
        <w:i w:val="0"/>
        <w:color w:val="auto"/>
        <w:position w:val="3"/>
        <w:sz w:val="13"/>
        <w:szCs w:val="13"/>
      </w:rPr>
    </w:lvl>
    <w:lvl w:ilvl="5" w:tentative="0">
      <w:start w:val="1"/>
      <w:numFmt w:val="decimal"/>
      <w:pStyle w:val="30"/>
      <w:lvlText w:val="%6."/>
      <w:lvlJc w:val="left"/>
      <w:pPr>
        <w:tabs>
          <w:tab w:val="left" w:pos="1985"/>
        </w:tabs>
        <w:ind w:left="1985" w:hanging="284"/>
      </w:pPr>
      <w:rPr>
        <w:rFonts w:hint="default" w:ascii="Times New Roman" w:hAnsi="Times New Roman" w:cs="Book Antiqua"/>
        <w:color w:val="auto"/>
        <w:spacing w:val="0"/>
        <w:w w:val="100"/>
        <w:position w:val="1"/>
        <w:sz w:val="21"/>
        <w:szCs w:val="21"/>
      </w:rPr>
    </w:lvl>
    <w:lvl w:ilvl="6" w:tentative="0">
      <w:start w:val="1"/>
      <w:numFmt w:val="decimal"/>
      <w:pStyle w:val="36"/>
      <w:lvlText w:val="%7."/>
      <w:lvlJc w:val="left"/>
      <w:pPr>
        <w:tabs>
          <w:tab w:val="left" w:pos="2359"/>
        </w:tabs>
        <w:ind w:left="2359" w:hanging="284"/>
      </w:pPr>
      <w:rPr>
        <w:rFonts w:hint="default" w:ascii="Times New Roman" w:hAnsi="Times New Roman" w:cs="Book Antiqua"/>
        <w:color w:val="auto"/>
        <w:spacing w:val="0"/>
        <w:w w:val="100"/>
        <w:position w:val="1"/>
        <w:sz w:val="18"/>
        <w:szCs w:val="18"/>
      </w:rPr>
    </w:lvl>
    <w:lvl w:ilvl="7" w:tentative="0">
      <w:start w:val="1"/>
      <w:numFmt w:val="decimal"/>
      <w:pStyle w:val="37"/>
      <w:lvlText w:val="%8."/>
      <w:lvlJc w:val="left"/>
      <w:pPr>
        <w:tabs>
          <w:tab w:val="left" w:pos="454"/>
        </w:tabs>
        <w:ind w:left="454" w:hanging="284"/>
      </w:pPr>
      <w:rPr>
        <w:rFonts w:hint="default" w:ascii="Times New Roman" w:hAnsi="Times New Roman" w:cs="Book Antiqua"/>
        <w:color w:val="auto"/>
        <w:spacing w:val="0"/>
        <w:w w:val="100"/>
        <w:position w:val="1"/>
        <w:sz w:val="18"/>
        <w:szCs w:val="18"/>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N2RkNjNkMmQ3Y2I1ZjE0N2ZmZTdkNWY5YmY4ZmIifQ=="/>
  </w:docVars>
  <w:rsids>
    <w:rsidRoot w:val="00172A27"/>
    <w:rsid w:val="00123FE3"/>
    <w:rsid w:val="001301C5"/>
    <w:rsid w:val="00172A27"/>
    <w:rsid w:val="00477707"/>
    <w:rsid w:val="005603E4"/>
    <w:rsid w:val="00791D96"/>
    <w:rsid w:val="0099398F"/>
    <w:rsid w:val="009A3C9A"/>
    <w:rsid w:val="00C424AD"/>
    <w:rsid w:val="00CC1A2E"/>
    <w:rsid w:val="00ED32E4"/>
    <w:rsid w:val="00EE2011"/>
    <w:rsid w:val="00FA736A"/>
    <w:rsid w:val="00FC4153"/>
    <w:rsid w:val="00FD7ED5"/>
    <w:rsid w:val="012D66CB"/>
    <w:rsid w:val="014D3BDD"/>
    <w:rsid w:val="02025461"/>
    <w:rsid w:val="02040FDF"/>
    <w:rsid w:val="02083795"/>
    <w:rsid w:val="02BE3126"/>
    <w:rsid w:val="02E72D8C"/>
    <w:rsid w:val="03393105"/>
    <w:rsid w:val="03E74676"/>
    <w:rsid w:val="046B1D8B"/>
    <w:rsid w:val="046E3765"/>
    <w:rsid w:val="049A0EE2"/>
    <w:rsid w:val="05FC2DA4"/>
    <w:rsid w:val="06622CB2"/>
    <w:rsid w:val="06A411DD"/>
    <w:rsid w:val="072D08E0"/>
    <w:rsid w:val="083A6841"/>
    <w:rsid w:val="08EE3671"/>
    <w:rsid w:val="09293C1C"/>
    <w:rsid w:val="092A167C"/>
    <w:rsid w:val="09D8602B"/>
    <w:rsid w:val="0A310FDA"/>
    <w:rsid w:val="0A533E8A"/>
    <w:rsid w:val="0A634ED8"/>
    <w:rsid w:val="0A69025B"/>
    <w:rsid w:val="0AB539B9"/>
    <w:rsid w:val="0B867103"/>
    <w:rsid w:val="0C397098"/>
    <w:rsid w:val="0C574EAA"/>
    <w:rsid w:val="0DA26991"/>
    <w:rsid w:val="0ECB4993"/>
    <w:rsid w:val="104C65E8"/>
    <w:rsid w:val="112A7044"/>
    <w:rsid w:val="123D1FC9"/>
    <w:rsid w:val="12ED5CBA"/>
    <w:rsid w:val="13AA7D91"/>
    <w:rsid w:val="140B63F8"/>
    <w:rsid w:val="14C447F8"/>
    <w:rsid w:val="156452D7"/>
    <w:rsid w:val="166D339A"/>
    <w:rsid w:val="17471A1A"/>
    <w:rsid w:val="176F6C9D"/>
    <w:rsid w:val="17936E30"/>
    <w:rsid w:val="18606150"/>
    <w:rsid w:val="19712374"/>
    <w:rsid w:val="19B32EC3"/>
    <w:rsid w:val="1A042336"/>
    <w:rsid w:val="1A071A40"/>
    <w:rsid w:val="1A786886"/>
    <w:rsid w:val="1AED69BB"/>
    <w:rsid w:val="1CC7757C"/>
    <w:rsid w:val="1CFD009B"/>
    <w:rsid w:val="1D5379E4"/>
    <w:rsid w:val="1DC008E5"/>
    <w:rsid w:val="1DD86320"/>
    <w:rsid w:val="1EFF5193"/>
    <w:rsid w:val="1F3E25C9"/>
    <w:rsid w:val="1F8905C9"/>
    <w:rsid w:val="1F9A0F77"/>
    <w:rsid w:val="1FEF3071"/>
    <w:rsid w:val="20205D7D"/>
    <w:rsid w:val="2031368A"/>
    <w:rsid w:val="2039362C"/>
    <w:rsid w:val="217E1CFE"/>
    <w:rsid w:val="24875F4B"/>
    <w:rsid w:val="25D6438C"/>
    <w:rsid w:val="25E92311"/>
    <w:rsid w:val="26445799"/>
    <w:rsid w:val="2740212A"/>
    <w:rsid w:val="279369D8"/>
    <w:rsid w:val="27F829C0"/>
    <w:rsid w:val="28126A09"/>
    <w:rsid w:val="29B42C36"/>
    <w:rsid w:val="2A6117E0"/>
    <w:rsid w:val="2A8940C2"/>
    <w:rsid w:val="2A9C2048"/>
    <w:rsid w:val="2B975488"/>
    <w:rsid w:val="2BB05A29"/>
    <w:rsid w:val="2BBE1469"/>
    <w:rsid w:val="2BCA739A"/>
    <w:rsid w:val="2BEB2E13"/>
    <w:rsid w:val="2D393A69"/>
    <w:rsid w:val="2E0860D1"/>
    <w:rsid w:val="2E402CEA"/>
    <w:rsid w:val="2E5A20BA"/>
    <w:rsid w:val="2ECB5FE2"/>
    <w:rsid w:val="31F44517"/>
    <w:rsid w:val="32363B53"/>
    <w:rsid w:val="325C5786"/>
    <w:rsid w:val="32907E5C"/>
    <w:rsid w:val="337322A8"/>
    <w:rsid w:val="33C932C5"/>
    <w:rsid w:val="33D53A32"/>
    <w:rsid w:val="34403FA4"/>
    <w:rsid w:val="34DB5F68"/>
    <w:rsid w:val="35912415"/>
    <w:rsid w:val="371778DF"/>
    <w:rsid w:val="37E62326"/>
    <w:rsid w:val="38A511DA"/>
    <w:rsid w:val="394144E6"/>
    <w:rsid w:val="3A1B67E7"/>
    <w:rsid w:val="3A7D6982"/>
    <w:rsid w:val="3B175BF1"/>
    <w:rsid w:val="3BFB1137"/>
    <w:rsid w:val="3C047712"/>
    <w:rsid w:val="3C8205E5"/>
    <w:rsid w:val="3CCC5DA0"/>
    <w:rsid w:val="3CD77495"/>
    <w:rsid w:val="3D1E1134"/>
    <w:rsid w:val="3D4445A5"/>
    <w:rsid w:val="3DC27043"/>
    <w:rsid w:val="3DD1395F"/>
    <w:rsid w:val="3E817133"/>
    <w:rsid w:val="3E8C010F"/>
    <w:rsid w:val="3EFD65C9"/>
    <w:rsid w:val="3F0D301F"/>
    <w:rsid w:val="3F1831BA"/>
    <w:rsid w:val="400E2C48"/>
    <w:rsid w:val="403A795B"/>
    <w:rsid w:val="4044389B"/>
    <w:rsid w:val="40C03B09"/>
    <w:rsid w:val="41C53B3E"/>
    <w:rsid w:val="42100EF9"/>
    <w:rsid w:val="42925DB2"/>
    <w:rsid w:val="42D40179"/>
    <w:rsid w:val="431A6182"/>
    <w:rsid w:val="434B112E"/>
    <w:rsid w:val="443D1A3B"/>
    <w:rsid w:val="4504286C"/>
    <w:rsid w:val="46C97C03"/>
    <w:rsid w:val="471A188F"/>
    <w:rsid w:val="472B5FAC"/>
    <w:rsid w:val="483F34F7"/>
    <w:rsid w:val="48AD79E8"/>
    <w:rsid w:val="48F03340"/>
    <w:rsid w:val="4908486B"/>
    <w:rsid w:val="49B06B1E"/>
    <w:rsid w:val="49DC5C4D"/>
    <w:rsid w:val="4A44006F"/>
    <w:rsid w:val="4B3450B1"/>
    <w:rsid w:val="4BAE4378"/>
    <w:rsid w:val="4BFB311F"/>
    <w:rsid w:val="4D3D092B"/>
    <w:rsid w:val="4D5D520F"/>
    <w:rsid w:val="4DA31AFF"/>
    <w:rsid w:val="4DB34E2F"/>
    <w:rsid w:val="4FA7135F"/>
    <w:rsid w:val="50DE6FEF"/>
    <w:rsid w:val="513444D8"/>
    <w:rsid w:val="51345D4D"/>
    <w:rsid w:val="515756D7"/>
    <w:rsid w:val="52871060"/>
    <w:rsid w:val="52ED4007"/>
    <w:rsid w:val="54210D44"/>
    <w:rsid w:val="54227B28"/>
    <w:rsid w:val="55A27C63"/>
    <w:rsid w:val="55A710AE"/>
    <w:rsid w:val="560F1B9D"/>
    <w:rsid w:val="57BF2D4E"/>
    <w:rsid w:val="586A1F6A"/>
    <w:rsid w:val="58B74CBC"/>
    <w:rsid w:val="58E40592"/>
    <w:rsid w:val="59671403"/>
    <w:rsid w:val="598A3C77"/>
    <w:rsid w:val="5B0418D0"/>
    <w:rsid w:val="5B2814D9"/>
    <w:rsid w:val="5D4D1D73"/>
    <w:rsid w:val="5D972077"/>
    <w:rsid w:val="5E8E770E"/>
    <w:rsid w:val="5F616F40"/>
    <w:rsid w:val="61F335F4"/>
    <w:rsid w:val="620D7833"/>
    <w:rsid w:val="623B7383"/>
    <w:rsid w:val="62612C54"/>
    <w:rsid w:val="63166D1A"/>
    <w:rsid w:val="65922BE0"/>
    <w:rsid w:val="65CF770C"/>
    <w:rsid w:val="680622D3"/>
    <w:rsid w:val="69766FE4"/>
    <w:rsid w:val="6AB242D2"/>
    <w:rsid w:val="6AC87D14"/>
    <w:rsid w:val="6AF27A26"/>
    <w:rsid w:val="6B2D401B"/>
    <w:rsid w:val="6B557E6C"/>
    <w:rsid w:val="6B686E01"/>
    <w:rsid w:val="6C083654"/>
    <w:rsid w:val="6C094604"/>
    <w:rsid w:val="6C751B3B"/>
    <w:rsid w:val="6DC37643"/>
    <w:rsid w:val="6E182D60"/>
    <w:rsid w:val="6E354925"/>
    <w:rsid w:val="6E4A295F"/>
    <w:rsid w:val="6EAE5472"/>
    <w:rsid w:val="6ED924EF"/>
    <w:rsid w:val="6FE03650"/>
    <w:rsid w:val="70926DFA"/>
    <w:rsid w:val="710B2708"/>
    <w:rsid w:val="71867FE1"/>
    <w:rsid w:val="724471CD"/>
    <w:rsid w:val="734653CB"/>
    <w:rsid w:val="74963E13"/>
    <w:rsid w:val="751122B7"/>
    <w:rsid w:val="75292AD1"/>
    <w:rsid w:val="7553467E"/>
    <w:rsid w:val="75720FA8"/>
    <w:rsid w:val="760D37CC"/>
    <w:rsid w:val="78710FF4"/>
    <w:rsid w:val="79870010"/>
    <w:rsid w:val="79E2018B"/>
    <w:rsid w:val="7AFF6799"/>
    <w:rsid w:val="7BB10350"/>
    <w:rsid w:val="7C7F737F"/>
    <w:rsid w:val="7CF20C20"/>
    <w:rsid w:val="7DA77503"/>
    <w:rsid w:val="7DD345AE"/>
    <w:rsid w:val="7E921C8E"/>
    <w:rsid w:val="7EEF008B"/>
    <w:rsid w:val="7F263D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link w:val="17"/>
    <w:autoRedefine/>
    <w:qFormat/>
    <w:uiPriority w:val="0"/>
    <w:pPr>
      <w:keepNext/>
      <w:keepLines/>
      <w:widowControl/>
      <w:numPr>
        <w:ilvl w:val="1"/>
        <w:numId w:val="1"/>
      </w:numPr>
      <w:topLinePunct/>
      <w:adjustRightInd w:val="0"/>
      <w:snapToGrid w:val="0"/>
      <w:spacing w:before="600" w:after="160" w:line="240" w:lineRule="atLeast"/>
      <w:jc w:val="left"/>
      <w:outlineLvl w:val="1"/>
    </w:pPr>
    <w:rPr>
      <w:rFonts w:hint="eastAsia" w:ascii="Book Antiqua" w:hAnsi="Book Antiqua" w:eastAsia="黑体" w:cs="Book Antiqua"/>
      <w:bCs/>
      <w:kern w:val="0"/>
      <w:sz w:val="36"/>
      <w:szCs w:val="36"/>
      <w:lang w:eastAsia="en-US"/>
    </w:rPr>
  </w:style>
  <w:style w:type="paragraph" w:styleId="3">
    <w:name w:val="heading 3"/>
    <w:basedOn w:val="1"/>
    <w:next w:val="1"/>
    <w:link w:val="18"/>
    <w:autoRedefine/>
    <w:qFormat/>
    <w:uiPriority w:val="0"/>
    <w:pPr>
      <w:keepNext/>
      <w:keepLines/>
      <w:widowControl/>
      <w:numPr>
        <w:ilvl w:val="2"/>
        <w:numId w:val="1"/>
      </w:numPr>
      <w:topLinePunct/>
      <w:adjustRightInd w:val="0"/>
      <w:snapToGrid w:val="0"/>
      <w:spacing w:before="200" w:after="160" w:line="240" w:lineRule="atLeast"/>
      <w:jc w:val="left"/>
      <w:outlineLvl w:val="2"/>
    </w:pPr>
    <w:rPr>
      <w:rFonts w:hint="eastAsia" w:ascii="Book Antiqua" w:hAnsi="Book Antiqua" w:eastAsia="黑体" w:cs="宋体"/>
      <w:kern w:val="0"/>
      <w:sz w:val="32"/>
      <w:szCs w:val="32"/>
    </w:rPr>
  </w:style>
  <w:style w:type="paragraph" w:styleId="4">
    <w:name w:val="heading 4"/>
    <w:basedOn w:val="1"/>
    <w:next w:val="1"/>
    <w:link w:val="19"/>
    <w:autoRedefine/>
    <w:qFormat/>
    <w:uiPriority w:val="0"/>
    <w:pPr>
      <w:keepNext/>
      <w:keepLines/>
      <w:widowControl/>
      <w:numPr>
        <w:ilvl w:val="3"/>
        <w:numId w:val="1"/>
      </w:numPr>
      <w:topLinePunct/>
      <w:adjustRightInd w:val="0"/>
      <w:snapToGrid w:val="0"/>
      <w:spacing w:before="160" w:after="160" w:line="240" w:lineRule="atLeast"/>
      <w:jc w:val="left"/>
      <w:outlineLvl w:val="3"/>
    </w:pPr>
    <w:rPr>
      <w:rFonts w:hint="eastAsia" w:ascii="Book Antiqua" w:hAnsi="Book Antiqua" w:eastAsia="黑体" w:cs="宋体"/>
      <w:kern w:val="0"/>
      <w:sz w:val="28"/>
      <w:szCs w:val="28"/>
    </w:rPr>
  </w:style>
  <w:style w:type="paragraph" w:styleId="5">
    <w:name w:val="heading 5"/>
    <w:basedOn w:val="1"/>
    <w:next w:val="1"/>
    <w:link w:val="20"/>
    <w:autoRedefine/>
    <w:qFormat/>
    <w:uiPriority w:val="0"/>
    <w:pPr>
      <w:keepNext/>
      <w:keepLines/>
      <w:widowControl/>
      <w:numPr>
        <w:ilvl w:val="4"/>
        <w:numId w:val="1"/>
      </w:numPr>
      <w:topLinePunct/>
      <w:adjustRightInd w:val="0"/>
      <w:snapToGrid w:val="0"/>
      <w:spacing w:before="160" w:after="160" w:line="240" w:lineRule="atLeast"/>
      <w:jc w:val="left"/>
      <w:outlineLvl w:val="4"/>
    </w:pPr>
    <w:rPr>
      <w:rFonts w:hint="eastAsia" w:ascii="Book Antiqua" w:hAnsi="Book Antiqua" w:eastAsia="黑体" w:cs="宋体"/>
      <w:kern w:val="0"/>
      <w:sz w:val="24"/>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99"/>
    <w:pPr>
      <w:ind w:firstLine="420" w:firstLineChars="200"/>
    </w:pPr>
  </w:style>
  <w:style w:type="paragraph" w:styleId="7">
    <w:name w:val="Body Text Indent"/>
    <w:basedOn w:val="1"/>
    <w:autoRedefine/>
    <w:qFormat/>
    <w:uiPriority w:val="0"/>
    <w:pPr>
      <w:spacing w:after="120"/>
      <w:ind w:left="420" w:leftChars="200"/>
    </w:pPr>
    <w:rPr>
      <w:lang w:val="zh-CN"/>
    </w:rPr>
  </w:style>
  <w:style w:type="paragraph" w:styleId="8">
    <w:name w:val="Plain Text"/>
    <w:basedOn w:val="1"/>
    <w:next w:val="1"/>
    <w:autoRedefine/>
    <w:qFormat/>
    <w:uiPriority w:val="0"/>
    <w:rPr>
      <w:rFonts w:ascii="宋体" w:hAnsi="Courier New"/>
      <w:szCs w:val="20"/>
    </w:rPr>
  </w:style>
  <w:style w:type="paragraph" w:styleId="9">
    <w:name w:val="Balloon Text"/>
    <w:basedOn w:val="1"/>
    <w:link w:val="39"/>
    <w:autoRedefine/>
    <w:qFormat/>
    <w:uiPriority w:val="0"/>
    <w:rPr>
      <w:sz w:val="18"/>
      <w:szCs w:val="18"/>
    </w:rPr>
  </w:style>
  <w:style w:type="paragraph" w:styleId="10">
    <w:name w:val="footer"/>
    <w:basedOn w:val="1"/>
    <w:link w:val="16"/>
    <w:autoRedefine/>
    <w:qFormat/>
    <w:uiPriority w:val="0"/>
    <w:pPr>
      <w:tabs>
        <w:tab w:val="center" w:pos="4153"/>
        <w:tab w:val="right" w:pos="8306"/>
      </w:tabs>
      <w:snapToGrid w:val="0"/>
      <w:jc w:val="left"/>
    </w:pPr>
    <w:rPr>
      <w:sz w:val="18"/>
      <w:szCs w:val="18"/>
    </w:rPr>
  </w:style>
  <w:style w:type="paragraph" w:styleId="11">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7"/>
    <w:autoRedefine/>
    <w:unhideWhenUsed/>
    <w:qFormat/>
    <w:uiPriority w:val="99"/>
    <w:pPr>
      <w:widowControl w:val="0"/>
      <w:snapToGrid/>
      <w:spacing w:after="120" w:line="240" w:lineRule="auto"/>
      <w:ind w:left="420" w:leftChars="200" w:firstLine="420" w:firstLineChars="200"/>
    </w:pPr>
    <w:rPr>
      <w:rFonts w:asciiTheme="minorHAnsi" w:hAnsiTheme="minorHAnsi" w:eastAsiaTheme="minorEastAsia"/>
      <w:spacing w:val="0"/>
      <w:sz w:val="21"/>
      <w:szCs w:val="24"/>
    </w:rPr>
  </w:style>
  <w:style w:type="character" w:customStyle="1" w:styleId="15">
    <w:name w:val="页眉 Char"/>
    <w:basedOn w:val="14"/>
    <w:link w:val="11"/>
    <w:autoRedefine/>
    <w:qFormat/>
    <w:uiPriority w:val="0"/>
    <w:rPr>
      <w:kern w:val="2"/>
      <w:sz w:val="18"/>
      <w:szCs w:val="18"/>
    </w:rPr>
  </w:style>
  <w:style w:type="character" w:customStyle="1" w:styleId="16">
    <w:name w:val="页脚 Char"/>
    <w:basedOn w:val="14"/>
    <w:link w:val="10"/>
    <w:autoRedefine/>
    <w:qFormat/>
    <w:uiPriority w:val="0"/>
    <w:rPr>
      <w:kern w:val="2"/>
      <w:sz w:val="18"/>
      <w:szCs w:val="18"/>
    </w:rPr>
  </w:style>
  <w:style w:type="character" w:customStyle="1" w:styleId="17">
    <w:name w:val="标题 2 Char"/>
    <w:basedOn w:val="14"/>
    <w:link w:val="2"/>
    <w:autoRedefine/>
    <w:qFormat/>
    <w:uiPriority w:val="0"/>
    <w:rPr>
      <w:rFonts w:ascii="Book Antiqua" w:hAnsi="Book Antiqua" w:eastAsia="黑体" w:cs="Book Antiqua"/>
      <w:bCs/>
      <w:sz w:val="36"/>
      <w:szCs w:val="36"/>
      <w:lang w:eastAsia="en-US"/>
    </w:rPr>
  </w:style>
  <w:style w:type="character" w:customStyle="1" w:styleId="18">
    <w:name w:val="标题 3 Char"/>
    <w:basedOn w:val="14"/>
    <w:link w:val="3"/>
    <w:autoRedefine/>
    <w:qFormat/>
    <w:uiPriority w:val="0"/>
    <w:rPr>
      <w:rFonts w:ascii="Book Antiqua" w:hAnsi="Book Antiqua" w:eastAsia="黑体" w:cs="宋体"/>
      <w:sz w:val="32"/>
      <w:szCs w:val="32"/>
    </w:rPr>
  </w:style>
  <w:style w:type="character" w:customStyle="1" w:styleId="19">
    <w:name w:val="标题 4 Char"/>
    <w:basedOn w:val="14"/>
    <w:link w:val="4"/>
    <w:autoRedefine/>
    <w:qFormat/>
    <w:uiPriority w:val="0"/>
    <w:rPr>
      <w:rFonts w:ascii="Book Antiqua" w:hAnsi="Book Antiqua" w:eastAsia="黑体" w:cs="宋体"/>
      <w:sz w:val="28"/>
      <w:szCs w:val="28"/>
    </w:rPr>
  </w:style>
  <w:style w:type="character" w:customStyle="1" w:styleId="20">
    <w:name w:val="标题 5 Char"/>
    <w:basedOn w:val="14"/>
    <w:link w:val="5"/>
    <w:autoRedefine/>
    <w:qFormat/>
    <w:uiPriority w:val="0"/>
    <w:rPr>
      <w:rFonts w:ascii="Book Antiqua" w:hAnsi="Book Antiqua" w:eastAsia="黑体" w:cs="宋体"/>
      <w:sz w:val="24"/>
      <w:szCs w:val="24"/>
    </w:rPr>
  </w:style>
  <w:style w:type="paragraph" w:styleId="21">
    <w:name w:val="List Paragraph"/>
    <w:basedOn w:val="1"/>
    <w:link w:val="22"/>
    <w:autoRedefine/>
    <w:qFormat/>
    <w:uiPriority w:val="34"/>
    <w:pPr>
      <w:ind w:firstLine="420" w:firstLineChars="200"/>
    </w:pPr>
    <w:rPr>
      <w:rFonts w:asciiTheme="minorHAnsi" w:hAnsiTheme="minorHAnsi" w:eastAsiaTheme="minorEastAsia" w:cstheme="minorBidi"/>
      <w:szCs w:val="22"/>
    </w:rPr>
  </w:style>
  <w:style w:type="character" w:customStyle="1" w:styleId="22">
    <w:name w:val="列出段落 Char"/>
    <w:link w:val="21"/>
    <w:autoRedefine/>
    <w:qFormat/>
    <w:uiPriority w:val="34"/>
    <w:rPr>
      <w:rFonts w:asciiTheme="minorHAnsi" w:hAnsiTheme="minorHAnsi" w:eastAsiaTheme="minorEastAsia" w:cstheme="minorBidi"/>
      <w:kern w:val="2"/>
      <w:sz w:val="21"/>
      <w:szCs w:val="22"/>
    </w:rPr>
  </w:style>
  <w:style w:type="character" w:customStyle="1" w:styleId="23">
    <w:name w:val="Item Step in table Char Char"/>
    <w:link w:val="24"/>
    <w:autoRedefine/>
    <w:qFormat/>
    <w:uiPriority w:val="0"/>
    <w:rPr>
      <w:rFonts w:cs="Arial"/>
      <w:bCs/>
      <w:szCs w:val="28"/>
    </w:rPr>
  </w:style>
  <w:style w:type="paragraph" w:customStyle="1" w:styleId="24">
    <w:name w:val="Item Step in table"/>
    <w:basedOn w:val="5"/>
    <w:link w:val="23"/>
    <w:autoRedefine/>
    <w:qFormat/>
    <w:uiPriority w:val="0"/>
    <w:pPr>
      <w:numPr>
        <w:ilvl w:val="0"/>
        <w:numId w:val="0"/>
      </w:numPr>
      <w:tabs>
        <w:tab w:val="left" w:pos="420"/>
      </w:tabs>
      <w:spacing w:before="80" w:after="80" w:line="240" w:lineRule="auto"/>
      <w:ind w:left="420" w:hanging="420"/>
    </w:pPr>
    <w:rPr>
      <w:rFonts w:hint="default" w:ascii="Times New Roman" w:hAnsi="Times New Roman" w:eastAsia="宋体" w:cs="Arial"/>
      <w:bCs/>
      <w:sz w:val="20"/>
      <w:szCs w:val="28"/>
    </w:rPr>
  </w:style>
  <w:style w:type="paragraph" w:customStyle="1" w:styleId="25">
    <w:name w:val="Block Label"/>
    <w:basedOn w:val="1"/>
    <w:next w:val="1"/>
    <w:autoRedefine/>
    <w:qFormat/>
    <w:uiPriority w:val="0"/>
    <w:pPr>
      <w:keepNext/>
      <w:keepLines/>
      <w:widowControl/>
      <w:numPr>
        <w:ilvl w:val="5"/>
        <w:numId w:val="1"/>
      </w:numPr>
      <w:topLinePunct/>
      <w:adjustRightInd w:val="0"/>
      <w:snapToGrid w:val="0"/>
      <w:spacing w:before="300" w:after="80" w:line="240" w:lineRule="atLeast"/>
      <w:jc w:val="left"/>
    </w:pPr>
    <w:rPr>
      <w:rFonts w:hint="eastAsia" w:ascii="Book Antiqua" w:hAnsi="Book Antiqua" w:eastAsia="黑体" w:cs="Book Antiqua"/>
      <w:bCs/>
      <w:kern w:val="0"/>
      <w:sz w:val="26"/>
      <w:szCs w:val="26"/>
    </w:rPr>
  </w:style>
  <w:style w:type="paragraph" w:customStyle="1" w:styleId="26">
    <w:name w:val="Table Description"/>
    <w:basedOn w:val="1"/>
    <w:next w:val="1"/>
    <w:autoRedefine/>
    <w:qFormat/>
    <w:uiPriority w:val="0"/>
    <w:pPr>
      <w:keepNext/>
      <w:widowControl/>
      <w:numPr>
        <w:ilvl w:val="8"/>
        <w:numId w:val="1"/>
      </w:numPr>
      <w:topLinePunct/>
      <w:adjustRightInd w:val="0"/>
      <w:snapToGrid w:val="0"/>
      <w:spacing w:before="320" w:after="80" w:line="240" w:lineRule="atLeast"/>
      <w:jc w:val="left"/>
    </w:pPr>
    <w:rPr>
      <w:rFonts w:hint="eastAsia" w:eastAsia="黑体" w:cs="Arial"/>
      <w:spacing w:val="-4"/>
      <w:szCs w:val="21"/>
    </w:rPr>
  </w:style>
  <w:style w:type="character" w:customStyle="1" w:styleId="27">
    <w:name w:val="Table Text Char"/>
    <w:link w:val="28"/>
    <w:autoRedefine/>
    <w:qFormat/>
    <w:uiPriority w:val="0"/>
    <w:rPr>
      <w:rFonts w:cs="Arial"/>
      <w:szCs w:val="21"/>
    </w:rPr>
  </w:style>
  <w:style w:type="paragraph" w:customStyle="1" w:styleId="28">
    <w:name w:val="Table Text"/>
    <w:basedOn w:val="1"/>
    <w:link w:val="27"/>
    <w:autoRedefine/>
    <w:qFormat/>
    <w:uiPriority w:val="0"/>
    <w:pPr>
      <w:topLinePunct/>
      <w:adjustRightInd w:val="0"/>
      <w:snapToGrid w:val="0"/>
      <w:spacing w:before="80" w:after="80" w:line="240" w:lineRule="atLeast"/>
      <w:jc w:val="left"/>
    </w:pPr>
    <w:rPr>
      <w:rFonts w:cs="Arial"/>
      <w:kern w:val="0"/>
      <w:sz w:val="20"/>
      <w:szCs w:val="21"/>
    </w:rPr>
  </w:style>
  <w:style w:type="paragraph" w:customStyle="1" w:styleId="29">
    <w:name w:val="Step"/>
    <w:basedOn w:val="1"/>
    <w:autoRedefine/>
    <w:qFormat/>
    <w:uiPriority w:val="0"/>
    <w:pPr>
      <w:widowControl/>
      <w:numPr>
        <w:ilvl w:val="6"/>
        <w:numId w:val="1"/>
      </w:numPr>
      <w:topLinePunct/>
      <w:adjustRightInd w:val="0"/>
      <w:snapToGrid w:val="0"/>
      <w:spacing w:before="160" w:after="160" w:line="240" w:lineRule="atLeast"/>
      <w:jc w:val="left"/>
    </w:pPr>
    <w:rPr>
      <w:rFonts w:hint="eastAsia" w:cs="Arial"/>
      <w:snapToGrid w:val="0"/>
      <w:kern w:val="0"/>
      <w:szCs w:val="21"/>
    </w:rPr>
  </w:style>
  <w:style w:type="paragraph" w:customStyle="1" w:styleId="30">
    <w:name w:val="CAUTION Text Step"/>
    <w:basedOn w:val="1"/>
    <w:autoRedefine/>
    <w:qFormat/>
    <w:uiPriority w:val="0"/>
    <w:pPr>
      <w:keepNext/>
      <w:keepLines/>
      <w:widowControl/>
      <w:numPr>
        <w:ilvl w:val="5"/>
        <w:numId w:val="2"/>
      </w:numPr>
      <w:pBdr>
        <w:bottom w:val="single" w:color="auto" w:sz="12" w:space="4"/>
      </w:pBdr>
      <w:topLinePunct/>
      <w:adjustRightInd w:val="0"/>
      <w:snapToGrid w:val="0"/>
      <w:spacing w:before="80" w:after="80" w:line="240" w:lineRule="atLeast"/>
      <w:jc w:val="left"/>
    </w:pPr>
    <w:rPr>
      <w:rFonts w:hint="eastAsia" w:eastAsia="楷体_GB2312" w:cs="Arial"/>
      <w:iCs/>
      <w:szCs w:val="21"/>
    </w:rPr>
  </w:style>
  <w:style w:type="paragraph" w:customStyle="1" w:styleId="31">
    <w:name w:val="Sub Item Step in Table"/>
    <w:autoRedefine/>
    <w:qFormat/>
    <w:uiPriority w:val="0"/>
    <w:pPr>
      <w:numPr>
        <w:ilvl w:val="1"/>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2">
    <w:name w:val="Sub Item List in Table"/>
    <w:basedOn w:val="1"/>
    <w:autoRedefine/>
    <w:qFormat/>
    <w:uiPriority w:val="0"/>
    <w:pPr>
      <w:widowControl/>
      <w:numPr>
        <w:ilvl w:val="2"/>
        <w:numId w:val="2"/>
      </w:numPr>
      <w:topLinePunct/>
      <w:adjustRightInd w:val="0"/>
      <w:snapToGrid w:val="0"/>
      <w:spacing w:before="80" w:after="80" w:line="240" w:lineRule="atLeast"/>
      <w:jc w:val="left"/>
    </w:pPr>
    <w:rPr>
      <w:rFonts w:hint="eastAsia" w:cs="Arial"/>
      <w:szCs w:val="21"/>
    </w:rPr>
  </w:style>
  <w:style w:type="paragraph" w:customStyle="1" w:styleId="33">
    <w:name w:val="Sub Item Step in Table List"/>
    <w:autoRedefine/>
    <w:qFormat/>
    <w:uiPriority w:val="0"/>
    <w:pPr>
      <w:numPr>
        <w:ilvl w:val="3"/>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4">
    <w:name w:val="Item List in Table"/>
    <w:basedOn w:val="1"/>
    <w:autoRedefine/>
    <w:qFormat/>
    <w:uiPriority w:val="99"/>
    <w:pPr>
      <w:widowControl/>
      <w:numPr>
        <w:ilvl w:val="0"/>
        <w:numId w:val="2"/>
      </w:numPr>
      <w:tabs>
        <w:tab w:val="left" w:pos="284"/>
      </w:tabs>
      <w:topLinePunct/>
      <w:adjustRightInd w:val="0"/>
      <w:snapToGrid w:val="0"/>
      <w:spacing w:before="80" w:after="80" w:line="240" w:lineRule="atLeast"/>
      <w:jc w:val="left"/>
    </w:pPr>
    <w:rPr>
      <w:rFonts w:hint="eastAsia" w:cs="Arial"/>
      <w:kern w:val="0"/>
      <w:szCs w:val="21"/>
    </w:rPr>
  </w:style>
  <w:style w:type="paragraph" w:customStyle="1" w:styleId="35">
    <w:name w:val="Figure Description"/>
    <w:next w:val="1"/>
    <w:autoRedefine/>
    <w:qFormat/>
    <w:uiPriority w:val="0"/>
    <w:pPr>
      <w:keepNext/>
      <w:numPr>
        <w:ilvl w:val="7"/>
        <w:numId w:val="1"/>
      </w:numPr>
      <w:adjustRightInd w:val="0"/>
      <w:snapToGrid w:val="0"/>
      <w:spacing w:before="320" w:after="80" w:line="240" w:lineRule="atLeast"/>
    </w:pPr>
    <w:rPr>
      <w:rFonts w:ascii="Times New Roman" w:hAnsi="Times New Roman" w:eastAsia="黑体" w:cs="Arial"/>
      <w:spacing w:val="-4"/>
      <w:kern w:val="2"/>
      <w:sz w:val="21"/>
      <w:szCs w:val="21"/>
      <w:lang w:val="en-US" w:eastAsia="zh-CN" w:bidi="ar-SA"/>
    </w:rPr>
  </w:style>
  <w:style w:type="paragraph" w:customStyle="1" w:styleId="36">
    <w:name w:val="Notes Text Step"/>
    <w:basedOn w:val="30"/>
    <w:autoRedefine/>
    <w:qFormat/>
    <w:uiPriority w:val="0"/>
    <w:pPr>
      <w:numPr>
        <w:ilvl w:val="6"/>
      </w:numPr>
      <w:pBdr>
        <w:bottom w:val="none" w:color="auto" w:sz="0" w:space="0"/>
      </w:pBdr>
      <w:spacing w:before="40" w:line="200" w:lineRule="atLeast"/>
    </w:pPr>
    <w:rPr>
      <w:sz w:val="18"/>
      <w:szCs w:val="18"/>
    </w:rPr>
  </w:style>
  <w:style w:type="paragraph" w:customStyle="1" w:styleId="37">
    <w:name w:val="Notes Text Step in Table"/>
    <w:autoRedefine/>
    <w:qFormat/>
    <w:uiPriority w:val="0"/>
    <w:pPr>
      <w:numPr>
        <w:ilvl w:val="7"/>
        <w:numId w:val="2"/>
      </w:numPr>
      <w:spacing w:before="40" w:after="80" w:line="200" w:lineRule="atLeast"/>
    </w:pPr>
    <w:rPr>
      <w:rFonts w:ascii="Times New Roman" w:hAnsi="Times New Roman" w:eastAsia="楷体_GB2312" w:cs="楷体_GB2312"/>
      <w:sz w:val="18"/>
      <w:szCs w:val="18"/>
      <w:lang w:val="en-US" w:eastAsia="zh-CN" w:bidi="ar-SA"/>
    </w:rPr>
  </w:style>
  <w:style w:type="paragraph" w:customStyle="1" w:styleId="38">
    <w:name w:val="Sub Item List in Table Step"/>
    <w:basedOn w:val="1"/>
    <w:autoRedefine/>
    <w:qFormat/>
    <w:uiPriority w:val="0"/>
    <w:pPr>
      <w:widowControl/>
      <w:numPr>
        <w:ilvl w:val="4"/>
        <w:numId w:val="2"/>
      </w:numPr>
      <w:topLinePunct/>
      <w:adjustRightInd w:val="0"/>
      <w:snapToGrid w:val="0"/>
      <w:spacing w:before="80" w:after="80" w:line="240" w:lineRule="atLeast"/>
      <w:jc w:val="left"/>
    </w:pPr>
    <w:rPr>
      <w:rFonts w:hint="eastAsia" w:cs="Arial"/>
      <w:szCs w:val="21"/>
    </w:rPr>
  </w:style>
  <w:style w:type="character" w:customStyle="1" w:styleId="39">
    <w:name w:val="批注框文本 Char"/>
    <w:basedOn w:val="14"/>
    <w:link w:val="9"/>
    <w:autoRedefine/>
    <w:qFormat/>
    <w:uiPriority w:val="0"/>
    <w:rPr>
      <w:kern w:val="2"/>
      <w:sz w:val="18"/>
      <w:szCs w:val="18"/>
    </w:rPr>
  </w:style>
  <w:style w:type="paragraph" w:customStyle="1" w:styleId="40">
    <w:name w:val="样式 宋体 小四 行距: 1.5 倍行距 首行缩进:  2 字符"/>
    <w:basedOn w:val="1"/>
    <w:autoRedefine/>
    <w:qFormat/>
    <w:uiPriority w:val="99"/>
    <w:pPr>
      <w:spacing w:line="360" w:lineRule="auto"/>
      <w:ind w:firstLine="480" w:firstLineChars="200"/>
    </w:pPr>
    <w:rPr>
      <w:rFonts w:ascii="Times New Roman" w:hAnsi="Times New Roman" w:cs="宋体"/>
    </w:rPr>
  </w:style>
  <w:style w:type="character" w:customStyle="1" w:styleId="41">
    <w:name w:val="font21"/>
    <w:basedOn w:val="14"/>
    <w:autoRedefine/>
    <w:qFormat/>
    <w:uiPriority w:val="0"/>
    <w:rPr>
      <w:rFonts w:hint="eastAsia" w:ascii="宋体" w:hAnsi="宋体" w:eastAsia="宋体" w:cs="宋体"/>
      <w:color w:val="000000"/>
      <w:sz w:val="20"/>
      <w:szCs w:val="20"/>
      <w:u w:val="none"/>
    </w:rPr>
  </w:style>
  <w:style w:type="character" w:customStyle="1" w:styleId="42">
    <w:name w:val="font31"/>
    <w:basedOn w:val="14"/>
    <w:autoRedefine/>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500</Words>
  <Characters>603</Characters>
  <Lines>61</Lines>
  <Paragraphs>17</Paragraphs>
  <TotalTime>1</TotalTime>
  <ScaleCrop>false</ScaleCrop>
  <LinksUpToDate>false</LinksUpToDate>
  <CharactersWithSpaces>672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2022-10-19T02:55:00Z</dcterms:created>
  <dc:creator>Administrator</dc:creator>
  <cp:lastModifiedBy>L</cp:lastModifiedBy>
  <cp:lastPrinted>2022-10-20T06:50:00Z</cp:lastPrinted>
  <dcterms:modified xsi:type="dcterms:W3CDTF">2024-05-31T02:02:54Z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54683F8412CF471EA334CD25362B5CC7_13</vt:lpwstr>
  </property>
</Properties>
</file>